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1F" w:rsidRDefault="00E0127B" w:rsidP="008B6767">
      <w:pPr>
        <w:spacing w:after="0" w:line="240" w:lineRule="auto"/>
        <w:jc w:val="center"/>
        <w:rPr>
          <w:lang w:val="sr-Cyrl-RS"/>
        </w:rPr>
      </w:pPr>
      <w:r>
        <w:t>МИНИСТАРСТВО</w:t>
      </w:r>
      <w:r w:rsidR="00854C1F">
        <w:rPr>
          <w:lang w:val="sr-Cyrl-RS"/>
        </w:rPr>
        <w:t xml:space="preserve"> УНУТРАШЊЕ И СПОЉНЕ</w:t>
      </w:r>
      <w:r>
        <w:t xml:space="preserve"> ТРГОВИНЕ</w:t>
      </w:r>
      <w:r w:rsidR="00854C1F">
        <w:rPr>
          <w:lang w:val="sr-Cyrl-RS"/>
        </w:rPr>
        <w:t xml:space="preserve"> </w:t>
      </w:r>
    </w:p>
    <w:p w:rsidR="008B6767" w:rsidRPr="00F35DFD" w:rsidRDefault="000A6901" w:rsidP="008B6767">
      <w:pPr>
        <w:spacing w:after="0" w:line="240" w:lineRule="auto"/>
        <w:jc w:val="center"/>
        <w:rPr>
          <w:lang w:val="sr-Cyrl-RS"/>
        </w:rPr>
      </w:pPr>
      <w:proofErr w:type="spellStart"/>
      <w:r>
        <w:t>Београд</w:t>
      </w:r>
      <w:proofErr w:type="spellEnd"/>
      <w:r>
        <w:t xml:space="preserve">, </w:t>
      </w:r>
      <w:proofErr w:type="gramStart"/>
      <w:r w:rsidR="00F35DFD">
        <w:rPr>
          <w:lang w:val="sr-Cyrl-RS"/>
        </w:rPr>
        <w:t xml:space="preserve">Немањина </w:t>
      </w:r>
      <w:r w:rsidR="008B6767">
        <w:t xml:space="preserve"> </w:t>
      </w:r>
      <w:proofErr w:type="spellStart"/>
      <w:r w:rsidR="008B6767">
        <w:t>бр</w:t>
      </w:r>
      <w:proofErr w:type="spellEnd"/>
      <w:proofErr w:type="gramEnd"/>
      <w:r w:rsidR="008B6767">
        <w:t xml:space="preserve">. </w:t>
      </w:r>
      <w:r w:rsidR="00F35DFD">
        <w:rPr>
          <w:lang w:val="sr-Cyrl-RS"/>
        </w:rPr>
        <w:t>22-26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7473F7" w:rsidP="00E0127B">
      <w:pPr>
        <w:spacing w:after="0" w:line="240" w:lineRule="auto"/>
        <w:ind w:firstLine="720"/>
        <w:jc w:val="both"/>
      </w:pPr>
      <w:proofErr w:type="spellStart"/>
      <w:r w:rsidRPr="007473F7">
        <w:t>На</w:t>
      </w:r>
      <w:proofErr w:type="spellEnd"/>
      <w:r w:rsidRPr="007473F7">
        <w:t xml:space="preserve"> </w:t>
      </w:r>
      <w:proofErr w:type="spellStart"/>
      <w:r w:rsidRPr="007473F7">
        <w:t>основу</w:t>
      </w:r>
      <w:proofErr w:type="spellEnd"/>
      <w:r w:rsidRPr="007473F7">
        <w:t xml:space="preserve"> </w:t>
      </w:r>
      <w:proofErr w:type="spellStart"/>
      <w:r w:rsidRPr="007473F7">
        <w:t>члана</w:t>
      </w:r>
      <w:proofErr w:type="spellEnd"/>
      <w:r w:rsidRPr="007473F7">
        <w:t xml:space="preserve"> 27. </w:t>
      </w:r>
      <w:proofErr w:type="gramStart"/>
      <w:r w:rsidRPr="007473F7">
        <w:t>ст.1</w:t>
      </w:r>
      <w:proofErr w:type="gramEnd"/>
      <w:r w:rsidRPr="007473F7">
        <w:t xml:space="preserve">. и 2. </w:t>
      </w:r>
      <w:proofErr w:type="spellStart"/>
      <w:r w:rsidRPr="007473F7">
        <w:t>Закона</w:t>
      </w:r>
      <w:proofErr w:type="spellEnd"/>
      <w:r w:rsidRPr="007473F7">
        <w:t xml:space="preserve"> о </w:t>
      </w:r>
      <w:proofErr w:type="spellStart"/>
      <w:r w:rsidRPr="007473F7">
        <w:t>јавној</w:t>
      </w:r>
      <w:proofErr w:type="spellEnd"/>
      <w:r w:rsidRPr="007473F7">
        <w:t xml:space="preserve"> </w:t>
      </w:r>
      <w:proofErr w:type="spellStart"/>
      <w:r w:rsidRPr="007473F7">
        <w:t>својини</w:t>
      </w:r>
      <w:proofErr w:type="spellEnd"/>
      <w:r w:rsidRPr="007473F7">
        <w:t xml:space="preserve"> („</w:t>
      </w:r>
      <w:proofErr w:type="spellStart"/>
      <w:r w:rsidRPr="007473F7">
        <w:t>Службени</w:t>
      </w:r>
      <w:proofErr w:type="spellEnd"/>
      <w:r w:rsidRPr="007473F7">
        <w:t xml:space="preserve"> </w:t>
      </w:r>
      <w:proofErr w:type="spellStart"/>
      <w:r w:rsidRPr="007473F7">
        <w:t>гласник</w:t>
      </w:r>
      <w:proofErr w:type="spellEnd"/>
      <w:r w:rsidRPr="007473F7">
        <w:t xml:space="preserve"> РС”, </w:t>
      </w:r>
      <w:proofErr w:type="spellStart"/>
      <w:r w:rsidRPr="007473F7">
        <w:t>бр</w:t>
      </w:r>
      <w:proofErr w:type="spellEnd"/>
      <w:r w:rsidRPr="007473F7">
        <w:t xml:space="preserve">. 72/11, 88/13, 105/14, 104/16, 108/16, 113/17, 95/18 и 153/20), </w:t>
      </w:r>
      <w:proofErr w:type="spellStart"/>
      <w:r w:rsidRPr="007473F7">
        <w:t>члана</w:t>
      </w:r>
      <w:proofErr w:type="spellEnd"/>
      <w:r w:rsidRPr="007473F7">
        <w:t xml:space="preserve"> 23. </w:t>
      </w:r>
      <w:proofErr w:type="spellStart"/>
      <w:proofErr w:type="gramStart"/>
      <w:r w:rsidRPr="007473F7">
        <w:t>став</w:t>
      </w:r>
      <w:proofErr w:type="spellEnd"/>
      <w:proofErr w:type="gramEnd"/>
      <w:r w:rsidRPr="007473F7">
        <w:t xml:space="preserve"> 2. </w:t>
      </w:r>
      <w:proofErr w:type="spellStart"/>
      <w:r w:rsidRPr="007473F7">
        <w:t>Закона</w:t>
      </w:r>
      <w:proofErr w:type="spellEnd"/>
      <w:r w:rsidRPr="007473F7">
        <w:t xml:space="preserve"> о </w:t>
      </w:r>
      <w:proofErr w:type="spellStart"/>
      <w:r w:rsidRPr="007473F7">
        <w:t>државној</w:t>
      </w:r>
      <w:proofErr w:type="spellEnd"/>
      <w:r w:rsidRPr="007473F7">
        <w:t xml:space="preserve"> </w:t>
      </w:r>
      <w:proofErr w:type="spellStart"/>
      <w:r w:rsidRPr="007473F7">
        <w:t>управи</w:t>
      </w:r>
      <w:proofErr w:type="spellEnd"/>
      <w:r w:rsidRPr="007473F7">
        <w:t xml:space="preserve"> („</w:t>
      </w:r>
      <w:proofErr w:type="spellStart"/>
      <w:r w:rsidRPr="007473F7">
        <w:t>Службени</w:t>
      </w:r>
      <w:proofErr w:type="spellEnd"/>
      <w:r w:rsidRPr="007473F7">
        <w:t xml:space="preserve"> </w:t>
      </w:r>
      <w:proofErr w:type="spellStart"/>
      <w:r w:rsidRPr="007473F7">
        <w:t>гласник</w:t>
      </w:r>
      <w:proofErr w:type="spellEnd"/>
      <w:r w:rsidRPr="007473F7">
        <w:t xml:space="preserve"> РС”, </w:t>
      </w:r>
      <w:proofErr w:type="spellStart"/>
      <w:r w:rsidRPr="007473F7">
        <w:t>бр</w:t>
      </w:r>
      <w:proofErr w:type="spellEnd"/>
      <w:r w:rsidRPr="007473F7">
        <w:t xml:space="preserve">. 79/05, 101/07, 95/10, 99/14, 30/18 – </w:t>
      </w:r>
      <w:proofErr w:type="spellStart"/>
      <w:r w:rsidRPr="007473F7">
        <w:t>др</w:t>
      </w:r>
      <w:proofErr w:type="spellEnd"/>
      <w:r w:rsidRPr="007473F7">
        <w:t xml:space="preserve">. </w:t>
      </w:r>
      <w:proofErr w:type="spellStart"/>
      <w:r w:rsidRPr="007473F7">
        <w:t>закон</w:t>
      </w:r>
      <w:proofErr w:type="spellEnd"/>
      <w:r w:rsidRPr="007473F7">
        <w:t xml:space="preserve"> и 47/18) и </w:t>
      </w:r>
      <w:proofErr w:type="spellStart"/>
      <w:r w:rsidRPr="007473F7">
        <w:t>Закључка</w:t>
      </w:r>
      <w:proofErr w:type="spellEnd"/>
      <w:r w:rsidRPr="007473F7">
        <w:t xml:space="preserve"> </w:t>
      </w:r>
      <w:proofErr w:type="spellStart"/>
      <w:r w:rsidRPr="007473F7">
        <w:t>Владе</w:t>
      </w:r>
      <w:proofErr w:type="spellEnd"/>
      <w:r w:rsidRPr="007473F7">
        <w:t xml:space="preserve"> 05 </w:t>
      </w:r>
      <w:proofErr w:type="spellStart"/>
      <w:r w:rsidRPr="007473F7">
        <w:t>Број</w:t>
      </w:r>
      <w:proofErr w:type="spellEnd"/>
      <w:r w:rsidRPr="007473F7">
        <w:t xml:space="preserve">: 46-176/2024 </w:t>
      </w:r>
      <w:proofErr w:type="spellStart"/>
      <w:r w:rsidRPr="007473F7">
        <w:t>од</w:t>
      </w:r>
      <w:proofErr w:type="spellEnd"/>
      <w:r w:rsidRPr="007473F7">
        <w:t xml:space="preserve"> 18. </w:t>
      </w:r>
      <w:proofErr w:type="spellStart"/>
      <w:proofErr w:type="gramStart"/>
      <w:r w:rsidRPr="007473F7">
        <w:t>јануара</w:t>
      </w:r>
      <w:proofErr w:type="spellEnd"/>
      <w:proofErr w:type="gramEnd"/>
      <w:r w:rsidRPr="007473F7">
        <w:t xml:space="preserve"> 2024. </w:t>
      </w:r>
      <w:proofErr w:type="spellStart"/>
      <w:proofErr w:type="gramStart"/>
      <w:r w:rsidRPr="007473F7">
        <w:t>године</w:t>
      </w:r>
      <w:proofErr w:type="spellEnd"/>
      <w:proofErr w:type="gramEnd"/>
      <w:r w:rsidR="00D2419F">
        <w:rPr>
          <w:lang w:val="sr-Cyrl-RS"/>
        </w:rPr>
        <w:t xml:space="preserve"> </w:t>
      </w:r>
      <w:r w:rsidR="008B6767">
        <w:t xml:space="preserve">и </w:t>
      </w:r>
      <w:proofErr w:type="spellStart"/>
      <w:r w:rsidR="008B6767">
        <w:t>Одлуке</w:t>
      </w:r>
      <w:proofErr w:type="spellEnd"/>
      <w:r w:rsidR="008B6767">
        <w:t xml:space="preserve"> </w:t>
      </w:r>
      <w:r w:rsidR="00C3602C">
        <w:rPr>
          <w:lang w:val="sr-Cyrl-RS"/>
        </w:rPr>
        <w:t>министра</w:t>
      </w:r>
      <w:r w:rsidR="00A51448" w:rsidRPr="00A51448">
        <w:t xml:space="preserve"> </w:t>
      </w:r>
      <w:r w:rsidR="00A51448" w:rsidRPr="00A51448">
        <w:rPr>
          <w:lang w:val="sr-Cyrl-RS"/>
        </w:rPr>
        <w:t>унутрашње и спољне</w:t>
      </w:r>
      <w:r w:rsidR="00A51448">
        <w:t xml:space="preserve"> </w:t>
      </w:r>
      <w:proofErr w:type="spellStart"/>
      <w:r w:rsidR="00E0127B">
        <w:t>трговине</w:t>
      </w:r>
      <w:proofErr w:type="spellEnd"/>
      <w:r w:rsidR="00E0127B">
        <w:t xml:space="preserve">, </w:t>
      </w:r>
      <w:proofErr w:type="spellStart"/>
      <w:r w:rsidR="008B6767">
        <w:t>број</w:t>
      </w:r>
      <w:proofErr w:type="spellEnd"/>
      <w:r w:rsidR="008B6767">
        <w:t xml:space="preserve">: </w:t>
      </w:r>
      <w:r w:rsidRPr="007473F7">
        <w:t>001526471 2024 14830 007 003 416 190</w:t>
      </w:r>
      <w:r w:rsidR="00A51448">
        <w:rPr>
          <w:lang w:val="sr-Cyrl-RS"/>
        </w:rPr>
        <w:t xml:space="preserve"> </w:t>
      </w:r>
      <w:proofErr w:type="spellStart"/>
      <w:r w:rsidR="00A51448">
        <w:t>од</w:t>
      </w:r>
      <w:proofErr w:type="spellEnd"/>
      <w:r w:rsidR="00A51448">
        <w:t xml:space="preserve"> 25</w:t>
      </w:r>
      <w:r w:rsidR="008B6767">
        <w:t xml:space="preserve">. </w:t>
      </w:r>
      <w:r w:rsidR="00A51448">
        <w:rPr>
          <w:lang w:val="sr-Cyrl-RS"/>
        </w:rPr>
        <w:t>априла</w:t>
      </w:r>
      <w:r w:rsidR="00C3602C">
        <w:rPr>
          <w:lang w:val="sr-Cyrl-RS"/>
        </w:rPr>
        <w:t xml:space="preserve"> </w:t>
      </w:r>
      <w:r w:rsidR="00A51448">
        <w:t>2024</w:t>
      </w:r>
      <w:r w:rsidR="00F87FD6">
        <w:t xml:space="preserve">. </w:t>
      </w:r>
      <w:proofErr w:type="spellStart"/>
      <w:r w:rsidR="00F87FD6">
        <w:t>г</w:t>
      </w:r>
      <w:r w:rsidR="00C3602C">
        <w:t>одине</w:t>
      </w:r>
      <w:proofErr w:type="spellEnd"/>
      <w:r w:rsidR="00C3602C">
        <w:t>,</w:t>
      </w:r>
      <w:r w:rsidR="008B6767">
        <w:t xml:space="preserve"> </w:t>
      </w:r>
      <w:proofErr w:type="spellStart"/>
      <w:r w:rsidR="008B6767">
        <w:t>објављује</w:t>
      </w:r>
      <w:proofErr w:type="spellEnd"/>
      <w:r w:rsidR="008B6767">
        <w:t>: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center"/>
      </w:pPr>
    </w:p>
    <w:p w:rsidR="00C3602C" w:rsidRPr="000A6901" w:rsidRDefault="008D2171" w:rsidP="008B676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ЈАВНИ ПОЗИВ</w:t>
      </w:r>
      <w:r w:rsidR="008B6767">
        <w:t xml:space="preserve">  </w:t>
      </w:r>
      <w:r w:rsidR="000A6901">
        <w:rPr>
          <w:lang w:val="sr-Cyrl-RS"/>
        </w:rPr>
        <w:t>број 2.</w:t>
      </w:r>
    </w:p>
    <w:p w:rsidR="008B6767" w:rsidRDefault="008B6767" w:rsidP="008B6767">
      <w:pPr>
        <w:spacing w:after="0" w:line="240" w:lineRule="auto"/>
        <w:jc w:val="center"/>
      </w:pPr>
      <w:r>
        <w:t xml:space="preserve"> РАДИ ОТУЂЕЊА ПОКРЕ</w:t>
      </w:r>
      <w:r w:rsidR="000534C5">
        <w:t xml:space="preserve">ТНИХ </w:t>
      </w:r>
      <w:proofErr w:type="gramStart"/>
      <w:r w:rsidR="000534C5">
        <w:t>СТВАРИ  -</w:t>
      </w:r>
      <w:proofErr w:type="gramEnd"/>
      <w:r w:rsidR="000534C5">
        <w:t xml:space="preserve"> ВОЗИЛА У СВОЈИНИ РЕПУБЛИКЕ СРБИЈЕ </w:t>
      </w:r>
      <w:r>
        <w:t xml:space="preserve">ПРИКУПЉАЊЕМ </w:t>
      </w:r>
      <w:r w:rsidR="000D638B">
        <w:rPr>
          <w:lang w:val="sr-Cyrl-RS"/>
        </w:rPr>
        <w:t>ПИСАНИХ</w:t>
      </w:r>
      <w:r>
        <w:t xml:space="preserve"> ПОНУДА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>1. ПРЕДМЕТ ОТУЂЕЊА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отуђења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– </w:t>
      </w:r>
      <w:r>
        <w:rPr>
          <w:lang w:val="sr-Cyrl-RS"/>
        </w:rPr>
        <w:t xml:space="preserve">путничка </w:t>
      </w:r>
      <w:proofErr w:type="spellStart"/>
      <w:r>
        <w:t>возила</w:t>
      </w:r>
      <w:proofErr w:type="spellEnd"/>
      <w:r>
        <w:t xml:space="preserve">, у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табели</w:t>
      </w:r>
      <w:proofErr w:type="spellEnd"/>
      <w:r>
        <w:t xml:space="preserve"> „</w:t>
      </w:r>
      <w:r w:rsidRPr="00DD7609">
        <w:rPr>
          <w:lang w:val="sr-Cyrl-CS"/>
        </w:rPr>
        <w:t>Спецификациј</w:t>
      </w:r>
      <w:r>
        <w:rPr>
          <w:lang w:val="sr-Cyrl-CS"/>
        </w:rPr>
        <w:t>а</w:t>
      </w:r>
      <w:r w:rsidRPr="00DD7609">
        <w:rPr>
          <w:lang w:val="sr-Cyrl-CS"/>
        </w:rPr>
        <w:t xml:space="preserve"> возила Министарства </w:t>
      </w:r>
      <w:r w:rsidRPr="00A51448">
        <w:rPr>
          <w:lang w:val="sr-Cyrl-CS"/>
        </w:rPr>
        <w:t>унутрашње и спољне трговине</w:t>
      </w:r>
      <w:r>
        <w:rPr>
          <w:lang w:val="sr-Cyrl-CS"/>
        </w:rPr>
        <w:t>,</w:t>
      </w:r>
      <w:r w:rsidRPr="00DD7609">
        <w:rPr>
          <w:lang w:val="sr-Cyrl-CS"/>
        </w:rPr>
        <w:t xml:space="preserve"> која су предмет </w:t>
      </w:r>
      <w:r>
        <w:rPr>
          <w:lang w:val="sr-Cyrl-CS"/>
        </w:rPr>
        <w:t>отуђења.</w:t>
      </w:r>
      <w:r>
        <w:t>ˮ</w:t>
      </w:r>
    </w:p>
    <w:p w:rsidR="008B6767" w:rsidRDefault="008B6767" w:rsidP="008B6767">
      <w:pPr>
        <w:spacing w:after="0" w:line="240" w:lineRule="auto"/>
        <w:jc w:val="both"/>
      </w:pPr>
    </w:p>
    <w:p w:rsidR="00973391" w:rsidRDefault="00973391" w:rsidP="008B6767">
      <w:pPr>
        <w:spacing w:after="0" w:line="240" w:lineRule="auto"/>
        <w:jc w:val="both"/>
      </w:pPr>
    </w:p>
    <w:p w:rsidR="005C17C8" w:rsidRPr="005C17C8" w:rsidRDefault="0097241B" w:rsidP="005C17C8">
      <w:pPr>
        <w:spacing w:after="0"/>
        <w:jc w:val="center"/>
        <w:rPr>
          <w:lang w:val="sr-Cyrl-CS"/>
        </w:rPr>
      </w:pPr>
      <w:r>
        <w:rPr>
          <w:lang w:val="sr-Cyrl-RS"/>
        </w:rPr>
        <w:t xml:space="preserve">Табела </w:t>
      </w:r>
    </w:p>
    <w:tbl>
      <w:tblPr>
        <w:tblStyle w:val="TableGrid"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353"/>
        <w:gridCol w:w="1066"/>
        <w:gridCol w:w="1849"/>
        <w:gridCol w:w="1544"/>
        <w:gridCol w:w="1260"/>
        <w:gridCol w:w="775"/>
        <w:gridCol w:w="678"/>
        <w:gridCol w:w="859"/>
      </w:tblGrid>
      <w:tr w:rsidR="0097241B" w:rsidRPr="003D413A" w:rsidTr="00A21E6F">
        <w:trPr>
          <w:cantSplit/>
          <w:trHeight w:val="1259"/>
          <w:jc w:val="center"/>
        </w:trPr>
        <w:tc>
          <w:tcPr>
            <w:tcW w:w="10061" w:type="dxa"/>
            <w:gridSpan w:val="9"/>
            <w:vAlign w:val="center"/>
          </w:tcPr>
          <w:p w:rsidR="0097241B" w:rsidRPr="003D413A" w:rsidRDefault="0097241B" w:rsidP="0097241B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СПЕЦИФИКАЦИЈА ВОЗИЛА </w:t>
            </w:r>
            <w:r w:rsidRPr="0097241B">
              <w:rPr>
                <w:sz w:val="16"/>
                <w:szCs w:val="16"/>
                <w:lang w:val="sr-Cyrl-RS"/>
              </w:rPr>
              <w:t>МИНИСТАРСТВА УНУТРАШЊЕ И СПОЉНЕ ТРГОВИНЕ, КОЈА СУ ПРЕДМЕТ ОТУЂЕЊА</w:t>
            </w:r>
          </w:p>
        </w:tc>
      </w:tr>
      <w:tr w:rsidR="000A6901" w:rsidRPr="003D413A" w:rsidTr="000A6901">
        <w:trPr>
          <w:cantSplit/>
          <w:trHeight w:val="1259"/>
          <w:jc w:val="center"/>
        </w:trPr>
        <w:tc>
          <w:tcPr>
            <w:tcW w:w="677" w:type="dxa"/>
            <w:vAlign w:val="center"/>
          </w:tcPr>
          <w:p w:rsidR="000A6901" w:rsidRPr="003D413A" w:rsidRDefault="000A6901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Редни број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марка</w:t>
            </w:r>
          </w:p>
        </w:tc>
        <w:tc>
          <w:tcPr>
            <w:tcW w:w="1066" w:type="dxa"/>
            <w:vAlign w:val="center"/>
          </w:tcPr>
          <w:p w:rsidR="000A6901" w:rsidRPr="003D413A" w:rsidRDefault="000A6901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модел</w:t>
            </w:r>
          </w:p>
        </w:tc>
        <w:tc>
          <w:tcPr>
            <w:tcW w:w="1849" w:type="dxa"/>
            <w:vAlign w:val="center"/>
          </w:tcPr>
          <w:p w:rsidR="000A6901" w:rsidRPr="003D413A" w:rsidRDefault="000A6901" w:rsidP="009D36BF">
            <w:pPr>
              <w:ind w:right="-50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Број шасије</w:t>
            </w:r>
          </w:p>
        </w:tc>
        <w:tc>
          <w:tcPr>
            <w:tcW w:w="1544" w:type="dxa"/>
            <w:vAlign w:val="center"/>
          </w:tcPr>
          <w:p w:rsidR="000A6901" w:rsidRPr="003D413A" w:rsidRDefault="000A6901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Број мотора</w:t>
            </w:r>
          </w:p>
        </w:tc>
        <w:tc>
          <w:tcPr>
            <w:tcW w:w="1260" w:type="dxa"/>
            <w:vAlign w:val="center"/>
          </w:tcPr>
          <w:p w:rsidR="000A6901" w:rsidRPr="003D413A" w:rsidRDefault="000A6901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Регистарска ознака</w:t>
            </w:r>
          </w:p>
        </w:tc>
        <w:tc>
          <w:tcPr>
            <w:tcW w:w="775" w:type="dxa"/>
            <w:textDirection w:val="btLr"/>
            <w:vAlign w:val="center"/>
          </w:tcPr>
          <w:p w:rsidR="000A6901" w:rsidRPr="003D413A" w:rsidRDefault="000A6901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Возило у возном стању</w:t>
            </w:r>
          </w:p>
          <w:p w:rsidR="000A6901" w:rsidRPr="003D413A" w:rsidRDefault="000A6901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(да/не)</w:t>
            </w:r>
          </w:p>
        </w:tc>
        <w:tc>
          <w:tcPr>
            <w:tcW w:w="678" w:type="dxa"/>
            <w:textDirection w:val="btLr"/>
            <w:vAlign w:val="center"/>
          </w:tcPr>
          <w:p w:rsidR="000A6901" w:rsidRPr="003D413A" w:rsidRDefault="000A6901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Регистровано</w:t>
            </w:r>
          </w:p>
          <w:p w:rsidR="000A6901" w:rsidRPr="003D413A" w:rsidRDefault="000A6901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(да/не)</w:t>
            </w:r>
          </w:p>
        </w:tc>
        <w:tc>
          <w:tcPr>
            <w:tcW w:w="859" w:type="dxa"/>
            <w:vAlign w:val="center"/>
          </w:tcPr>
          <w:p w:rsidR="000A6901" w:rsidRPr="003D413A" w:rsidRDefault="000A6901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Локација (адреса/град)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ŠKODA</w:t>
            </w:r>
          </w:p>
        </w:tc>
        <w:tc>
          <w:tcPr>
            <w:tcW w:w="1066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OCTAVIA AMBIENTE 1.9 TDI</w:t>
            </w:r>
          </w:p>
        </w:tc>
        <w:tc>
          <w:tcPr>
            <w:tcW w:w="1849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TMBCS21Z682109689</w:t>
            </w:r>
          </w:p>
        </w:tc>
        <w:tc>
          <w:tcPr>
            <w:tcW w:w="1544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BXE938629</w:t>
            </w:r>
          </w:p>
        </w:tc>
        <w:tc>
          <w:tcPr>
            <w:tcW w:w="1260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BG 1230-IF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Вилине воде,</w:t>
            </w:r>
          </w:p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CHERVOLET</w:t>
            </w:r>
          </w:p>
        </w:tc>
        <w:tc>
          <w:tcPr>
            <w:tcW w:w="1066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LACETTI 1.6 SE CARAVAN</w:t>
            </w:r>
          </w:p>
        </w:tc>
        <w:tc>
          <w:tcPr>
            <w:tcW w:w="1849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KL1NF35615K201701</w:t>
            </w:r>
          </w:p>
        </w:tc>
        <w:tc>
          <w:tcPr>
            <w:tcW w:w="1544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F16D3403335K</w:t>
            </w:r>
          </w:p>
        </w:tc>
        <w:tc>
          <w:tcPr>
            <w:tcW w:w="1260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BG 662-IO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Вилине воде,</w:t>
            </w:r>
          </w:p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1066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10 188</w:t>
            </w:r>
          </w:p>
        </w:tc>
        <w:tc>
          <w:tcPr>
            <w:tcW w:w="1849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VX118800000002714</w:t>
            </w:r>
          </w:p>
        </w:tc>
        <w:tc>
          <w:tcPr>
            <w:tcW w:w="1544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188A40004353593</w:t>
            </w:r>
          </w:p>
        </w:tc>
        <w:tc>
          <w:tcPr>
            <w:tcW w:w="1260" w:type="dxa"/>
            <w:vAlign w:val="center"/>
          </w:tcPr>
          <w:p w:rsidR="000A6901" w:rsidRPr="00AB36F7" w:rsidRDefault="000A6901" w:rsidP="000F323E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BG 672-HB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Вилине воде,</w:t>
            </w:r>
          </w:p>
          <w:p w:rsidR="000A6901" w:rsidRDefault="000A6901" w:rsidP="000F323E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1066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849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VX1128A0001106400</w:t>
            </w:r>
          </w:p>
        </w:tc>
        <w:tc>
          <w:tcPr>
            <w:tcW w:w="1544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128A0641601272</w:t>
            </w:r>
          </w:p>
        </w:tc>
        <w:tc>
          <w:tcPr>
            <w:tcW w:w="1260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BG 939-ĆF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Вилине воде,</w:t>
            </w:r>
          </w:p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1066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849" w:type="dxa"/>
            <w:vAlign w:val="center"/>
          </w:tcPr>
          <w:p w:rsidR="000A6901" w:rsidRPr="00F041AF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F041AF">
              <w:rPr>
                <w:sz w:val="16"/>
                <w:szCs w:val="16"/>
                <w:lang w:val="sr-Cyrl-RS"/>
              </w:rPr>
              <w:t>VX1128A0001106264</w:t>
            </w:r>
          </w:p>
        </w:tc>
        <w:tc>
          <w:tcPr>
            <w:tcW w:w="1544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128A0641601342</w:t>
            </w:r>
          </w:p>
        </w:tc>
        <w:tc>
          <w:tcPr>
            <w:tcW w:w="1260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BG 935-SA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Вилине воде,</w:t>
            </w:r>
          </w:p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1066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0F323E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849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VX1128A0001106354</w:t>
            </w:r>
          </w:p>
        </w:tc>
        <w:tc>
          <w:tcPr>
            <w:tcW w:w="1544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128A0641601542</w:t>
            </w:r>
          </w:p>
        </w:tc>
        <w:tc>
          <w:tcPr>
            <w:tcW w:w="1260" w:type="dxa"/>
            <w:vAlign w:val="center"/>
          </w:tcPr>
          <w:p w:rsidR="000A6901" w:rsidRPr="00AB36F7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F041AF">
              <w:rPr>
                <w:sz w:val="16"/>
                <w:szCs w:val="16"/>
                <w:lang w:val="sr-Latn-RS"/>
              </w:rPr>
              <w:t>BG 943-UL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Вилине воде,</w:t>
            </w:r>
          </w:p>
          <w:p w:rsidR="000A6901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Београд</w:t>
            </w:r>
          </w:p>
        </w:tc>
      </w:tr>
      <w:tr w:rsidR="000A6901" w:rsidRPr="003D413A" w:rsidTr="000A6901">
        <w:trPr>
          <w:trHeight w:val="452"/>
          <w:jc w:val="center"/>
        </w:trPr>
        <w:tc>
          <w:tcPr>
            <w:tcW w:w="677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D3150">
              <w:rPr>
                <w:sz w:val="16"/>
                <w:szCs w:val="16"/>
                <w:lang w:val="sr-Latn-RS"/>
              </w:rPr>
              <w:t>ŠKODA</w:t>
            </w:r>
          </w:p>
        </w:tc>
        <w:tc>
          <w:tcPr>
            <w:tcW w:w="1066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FABIA CLASSIC1.2</w:t>
            </w:r>
          </w:p>
        </w:tc>
        <w:tc>
          <w:tcPr>
            <w:tcW w:w="1849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TMBPY16Y574127565</w:t>
            </w:r>
          </w:p>
        </w:tc>
        <w:tc>
          <w:tcPr>
            <w:tcW w:w="1544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BME282175</w:t>
            </w:r>
          </w:p>
        </w:tc>
        <w:tc>
          <w:tcPr>
            <w:tcW w:w="1260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A2FF8">
              <w:rPr>
                <w:sz w:val="16"/>
                <w:szCs w:val="16"/>
                <w:lang w:val="sr-Latn-RS"/>
              </w:rPr>
              <w:t>BG 2509-NS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Панчево</w:t>
            </w:r>
          </w:p>
        </w:tc>
      </w:tr>
      <w:tr w:rsidR="000A6901" w:rsidRPr="003D413A" w:rsidTr="000A6901">
        <w:trPr>
          <w:trHeight w:val="558"/>
          <w:jc w:val="center"/>
        </w:trPr>
        <w:tc>
          <w:tcPr>
            <w:tcW w:w="677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D3150">
              <w:rPr>
                <w:sz w:val="16"/>
                <w:szCs w:val="16"/>
                <w:lang w:val="sr-Latn-RS"/>
              </w:rPr>
              <w:t>ŠKODA</w:t>
            </w:r>
          </w:p>
        </w:tc>
        <w:tc>
          <w:tcPr>
            <w:tcW w:w="1066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D3150">
              <w:rPr>
                <w:sz w:val="16"/>
                <w:szCs w:val="16"/>
                <w:lang w:val="sr-Latn-RS"/>
              </w:rPr>
              <w:t>FABIA CLASSIC1.2</w:t>
            </w:r>
          </w:p>
        </w:tc>
        <w:tc>
          <w:tcPr>
            <w:tcW w:w="1849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D3150">
              <w:rPr>
                <w:sz w:val="16"/>
                <w:szCs w:val="16"/>
                <w:lang w:val="sr-Latn-RS"/>
              </w:rPr>
              <w:t>TMBPY16Y874134204</w:t>
            </w:r>
          </w:p>
        </w:tc>
        <w:tc>
          <w:tcPr>
            <w:tcW w:w="1544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D3150">
              <w:rPr>
                <w:sz w:val="16"/>
                <w:szCs w:val="16"/>
                <w:lang w:val="sr-Latn-RS"/>
              </w:rPr>
              <w:t>BME284776</w:t>
            </w:r>
          </w:p>
        </w:tc>
        <w:tc>
          <w:tcPr>
            <w:tcW w:w="1260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DD3150">
              <w:rPr>
                <w:sz w:val="16"/>
                <w:szCs w:val="16"/>
                <w:lang w:val="sr-Latn-RS"/>
              </w:rPr>
              <w:t>BG 1785-HG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Панчево</w:t>
            </w:r>
          </w:p>
        </w:tc>
      </w:tr>
      <w:tr w:rsidR="000A6901" w:rsidRPr="003D413A" w:rsidTr="000A6901">
        <w:trPr>
          <w:trHeight w:val="418"/>
          <w:jc w:val="center"/>
        </w:trPr>
        <w:tc>
          <w:tcPr>
            <w:tcW w:w="677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353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1066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AB36F7">
              <w:rPr>
                <w:sz w:val="16"/>
                <w:szCs w:val="16"/>
                <w:lang w:val="sr-Latn-RS"/>
              </w:rPr>
              <w:t>10 188</w:t>
            </w:r>
          </w:p>
        </w:tc>
        <w:tc>
          <w:tcPr>
            <w:tcW w:w="1849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AB36F7">
              <w:rPr>
                <w:sz w:val="16"/>
                <w:szCs w:val="16"/>
                <w:lang w:val="sr-Latn-RS"/>
              </w:rPr>
              <w:t>VX118800000002653</w:t>
            </w:r>
          </w:p>
        </w:tc>
        <w:tc>
          <w:tcPr>
            <w:tcW w:w="1544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AB36F7">
              <w:rPr>
                <w:sz w:val="16"/>
                <w:szCs w:val="16"/>
                <w:lang w:val="sr-Latn-RS"/>
              </w:rPr>
              <w:t>188A40004353684</w:t>
            </w:r>
          </w:p>
        </w:tc>
        <w:tc>
          <w:tcPr>
            <w:tcW w:w="1260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Latn-RS"/>
              </w:rPr>
            </w:pPr>
            <w:r w:rsidRPr="00AB36F7">
              <w:rPr>
                <w:sz w:val="16"/>
                <w:szCs w:val="16"/>
                <w:lang w:val="sr-Latn-RS"/>
              </w:rPr>
              <w:t>BG 672-HA</w:t>
            </w:r>
          </w:p>
        </w:tc>
        <w:tc>
          <w:tcPr>
            <w:tcW w:w="775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678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859" w:type="dxa"/>
            <w:vAlign w:val="center"/>
          </w:tcPr>
          <w:p w:rsidR="000A6901" w:rsidRPr="003D413A" w:rsidRDefault="000A6901" w:rsidP="00F041A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Панчево</w:t>
            </w:r>
          </w:p>
        </w:tc>
      </w:tr>
    </w:tbl>
    <w:p w:rsidR="003D413A" w:rsidRDefault="003D413A" w:rsidP="008B6767">
      <w:pPr>
        <w:spacing w:after="0" w:line="240" w:lineRule="auto"/>
        <w:jc w:val="both"/>
      </w:pPr>
    </w:p>
    <w:p w:rsidR="00973391" w:rsidRDefault="000A6901" w:rsidP="008B6767">
      <w:pPr>
        <w:spacing w:after="0" w:line="240" w:lineRule="auto"/>
        <w:jc w:val="both"/>
      </w:pPr>
      <w:r>
        <w:rPr>
          <w:lang w:val="sr-Cyrl-RS"/>
        </w:rPr>
        <w:t>Сва возила означена у Табели</w:t>
      </w:r>
      <w:r w:rsidR="00DA3E50">
        <w:rPr>
          <w:lang w:val="sr-Cyrl-RS"/>
        </w:rPr>
        <w:t xml:space="preserve"> с</w:t>
      </w:r>
      <w:proofErr w:type="spellStart"/>
      <w:r w:rsidR="00DA3E50">
        <w:t>мештена</w:t>
      </w:r>
      <w:proofErr w:type="spellEnd"/>
      <w:r w:rsidR="00DA3E50">
        <w:t xml:space="preserve"> </w:t>
      </w:r>
      <w:proofErr w:type="spellStart"/>
      <w:r w:rsidR="00DA3E50">
        <w:t>су</w:t>
      </w:r>
      <w:proofErr w:type="spellEnd"/>
      <w:r w:rsidR="00DA3E50">
        <w:t xml:space="preserve"> </w:t>
      </w:r>
      <w:r w:rsidR="00DA3E50">
        <w:rPr>
          <w:lang w:val="sr-Cyrl-RS"/>
        </w:rPr>
        <w:t>на паркинг простору Републичке дирекције за робне резерве</w:t>
      </w:r>
      <w:r w:rsidR="00F041AF">
        <w:t>,</w:t>
      </w:r>
      <w:r w:rsidR="00F041AF" w:rsidRPr="00F041AF">
        <w:rPr>
          <w:lang w:val="sr-Cyrl-RS"/>
        </w:rPr>
        <w:t xml:space="preserve"> на адреси улица Вилине воде бб (код Темпа), </w:t>
      </w:r>
      <w:r w:rsidR="00B5624A">
        <w:rPr>
          <w:lang w:val="sr-Cyrl-RS"/>
        </w:rPr>
        <w:t>а возила под редним бројем од 7-9</w:t>
      </w:r>
      <w:r w:rsidR="00B5624A" w:rsidRPr="00B5624A">
        <w:t xml:space="preserve"> </w:t>
      </w:r>
      <w:r w:rsidR="00B5624A" w:rsidRPr="00B5624A">
        <w:rPr>
          <w:lang w:val="sr-Cyrl-RS"/>
        </w:rPr>
        <w:t>смештена су</w:t>
      </w:r>
      <w:r w:rsidR="00B5624A">
        <w:rPr>
          <w:lang w:val="sr-Cyrl-RS"/>
        </w:rPr>
        <w:t xml:space="preserve"> на паркингу Складишта специјалне луке доо, </w:t>
      </w:r>
      <w:r w:rsidR="00B5624A">
        <w:rPr>
          <w:lang w:val="sr-Cyrl-RS"/>
        </w:rPr>
        <w:lastRenderedPageBreak/>
        <w:t>Спољностарчевачка број 80, Панчево</w:t>
      </w:r>
      <w:r w:rsidR="00B5624A" w:rsidRPr="00F041AF">
        <w:rPr>
          <w:lang w:val="sr-Cyrl-RS"/>
        </w:rPr>
        <w:t xml:space="preserve"> </w:t>
      </w:r>
      <w:r w:rsidR="00DA3E50">
        <w:t xml:space="preserve">и </w:t>
      </w:r>
      <w:proofErr w:type="spellStart"/>
      <w:r w:rsidR="00DA3E50">
        <w:t>могу</w:t>
      </w:r>
      <w:proofErr w:type="spellEnd"/>
      <w:r w:rsidR="00DA3E50">
        <w:t xml:space="preserve"> </w:t>
      </w:r>
      <w:proofErr w:type="spellStart"/>
      <w:r w:rsidR="00DA3E50">
        <w:t>се</w:t>
      </w:r>
      <w:proofErr w:type="spellEnd"/>
      <w:r w:rsidR="00DA3E50">
        <w:t xml:space="preserve"> </w:t>
      </w:r>
      <w:proofErr w:type="spellStart"/>
      <w:r w:rsidR="00DA3E50">
        <w:t>разгледати</w:t>
      </w:r>
      <w:proofErr w:type="spellEnd"/>
      <w:r w:rsidR="00DA3E50">
        <w:t xml:space="preserve"> </w:t>
      </w:r>
      <w:proofErr w:type="spellStart"/>
      <w:r w:rsidRPr="000A6901">
        <w:t>радним</w:t>
      </w:r>
      <w:proofErr w:type="spellEnd"/>
      <w:r w:rsidRPr="000A6901">
        <w:t xml:space="preserve"> </w:t>
      </w:r>
      <w:proofErr w:type="spellStart"/>
      <w:r w:rsidRPr="000A6901">
        <w:t>данима</w:t>
      </w:r>
      <w:proofErr w:type="spellEnd"/>
      <w:r w:rsidRPr="000A6901">
        <w:t xml:space="preserve"> </w:t>
      </w:r>
      <w:proofErr w:type="spellStart"/>
      <w:r w:rsidRPr="000A6901">
        <w:t>уз</w:t>
      </w:r>
      <w:proofErr w:type="spellEnd"/>
      <w:r w:rsidRPr="000A6901">
        <w:t xml:space="preserve"> </w:t>
      </w:r>
      <w:proofErr w:type="spellStart"/>
      <w:r w:rsidRPr="000A6901">
        <w:t>претходну</w:t>
      </w:r>
      <w:proofErr w:type="spellEnd"/>
      <w:r w:rsidRPr="000A6901">
        <w:t xml:space="preserve"> </w:t>
      </w:r>
      <w:proofErr w:type="spellStart"/>
      <w:r w:rsidRPr="000A6901">
        <w:t>најаву</w:t>
      </w:r>
      <w:proofErr w:type="spellEnd"/>
      <w:r w:rsidRPr="000A6901">
        <w:t xml:space="preserve">, </w:t>
      </w:r>
      <w:proofErr w:type="spellStart"/>
      <w:r w:rsidRPr="000A6901">
        <w:t>позивом</w:t>
      </w:r>
      <w:proofErr w:type="spellEnd"/>
      <w:r w:rsidRPr="000A6901">
        <w:t xml:space="preserve"> </w:t>
      </w:r>
      <w:proofErr w:type="spellStart"/>
      <w:r w:rsidRPr="000A6901">
        <w:t>на</w:t>
      </w:r>
      <w:proofErr w:type="spellEnd"/>
      <w:r w:rsidRPr="000A6901">
        <w:t xml:space="preserve"> </w:t>
      </w:r>
      <w:proofErr w:type="spellStart"/>
      <w:r w:rsidRPr="000A6901">
        <w:t>телефон</w:t>
      </w:r>
      <w:proofErr w:type="spellEnd"/>
      <w:r w:rsidRPr="000A6901">
        <w:t>: 064/8188-000</w:t>
      </w:r>
      <w:r w:rsidR="00DA3E50" w:rsidRPr="00F87FD6">
        <w:t>.</w:t>
      </w:r>
      <w:r w:rsidR="00DA3E50">
        <w:t xml:space="preserve">  </w:t>
      </w:r>
    </w:p>
    <w:p w:rsidR="00DA3E50" w:rsidRDefault="00DA3E50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>2. УСЛОВИ ОТУЂЕЊА</w:t>
      </w:r>
    </w:p>
    <w:p w:rsidR="000A6901" w:rsidRDefault="000534C5" w:rsidP="000A6901">
      <w:pPr>
        <w:spacing w:after="0" w:line="240" w:lineRule="auto"/>
        <w:jc w:val="both"/>
      </w:pPr>
      <w:r>
        <w:rPr>
          <w:lang w:val="sr-Cyrl-RS"/>
        </w:rPr>
        <w:t>1</w:t>
      </w:r>
      <w:r w:rsidR="00E818CB">
        <w:rPr>
          <w:lang w:val="sr-Cyrl-RS"/>
        </w:rPr>
        <w:t xml:space="preserve">) </w:t>
      </w:r>
      <w:proofErr w:type="spellStart"/>
      <w:r w:rsidR="00E818CB">
        <w:t>Покретне</w:t>
      </w:r>
      <w:proofErr w:type="spellEnd"/>
      <w:r w:rsidR="00E818CB">
        <w:t xml:space="preserve"> </w:t>
      </w:r>
      <w:proofErr w:type="spellStart"/>
      <w:r w:rsidR="00E818CB">
        <w:t>ствари</w:t>
      </w:r>
      <w:proofErr w:type="spellEnd"/>
      <w:r w:rsidR="00E818CB">
        <w:t xml:space="preserve"> </w:t>
      </w:r>
      <w:proofErr w:type="spellStart"/>
      <w:r w:rsidR="00E818CB">
        <w:t>ближе</w:t>
      </w:r>
      <w:proofErr w:type="spellEnd"/>
      <w:r w:rsidR="00E818CB">
        <w:t xml:space="preserve"> </w:t>
      </w:r>
      <w:proofErr w:type="spellStart"/>
      <w:r w:rsidR="00E818CB">
        <w:t>описане</w:t>
      </w:r>
      <w:proofErr w:type="spellEnd"/>
      <w:r w:rsidR="00E818CB">
        <w:t xml:space="preserve"> у </w:t>
      </w:r>
      <w:r w:rsidR="00E818CB">
        <w:rPr>
          <w:lang w:val="sr-Cyrl-RS"/>
        </w:rPr>
        <w:t>Т</w:t>
      </w:r>
      <w:proofErr w:type="spellStart"/>
      <w:r w:rsidR="003638AC">
        <w:t>абели</w:t>
      </w:r>
      <w:proofErr w:type="spellEnd"/>
      <w:r w:rsidR="00E818CB">
        <w:rPr>
          <w:lang w:val="sr-Cyrl-RS"/>
        </w:rPr>
        <w:t xml:space="preserve"> </w:t>
      </w:r>
      <w:proofErr w:type="spellStart"/>
      <w:r w:rsidR="00E818CB">
        <w:t>под</w:t>
      </w:r>
      <w:proofErr w:type="spellEnd"/>
      <w:r w:rsidR="00E818CB">
        <w:t xml:space="preserve"> </w:t>
      </w:r>
      <w:proofErr w:type="spellStart"/>
      <w:r w:rsidR="00E818CB">
        <w:t>редним</w:t>
      </w:r>
      <w:proofErr w:type="spellEnd"/>
      <w:r w:rsidR="00E818CB">
        <w:t xml:space="preserve"> </w:t>
      </w:r>
      <w:proofErr w:type="spellStart"/>
      <w:r w:rsidR="00E818CB">
        <w:t>бр</w:t>
      </w:r>
      <w:proofErr w:type="spellEnd"/>
      <w:r w:rsidR="00E818CB">
        <w:rPr>
          <w:lang w:val="sr-Cyrl-RS"/>
        </w:rPr>
        <w:t>.</w:t>
      </w:r>
      <w:r w:rsidR="00B5624A">
        <w:t xml:space="preserve"> 1-9</w:t>
      </w:r>
      <w:r w:rsidR="00E818CB">
        <w:t xml:space="preserve">, </w:t>
      </w:r>
      <w:proofErr w:type="spellStart"/>
      <w:r w:rsidR="00E818CB" w:rsidRPr="00F87FD6">
        <w:t>отуђују</w:t>
      </w:r>
      <w:proofErr w:type="spellEnd"/>
      <w:r w:rsidR="00E818CB" w:rsidRPr="00F87FD6">
        <w:t xml:space="preserve"> </w:t>
      </w:r>
      <w:proofErr w:type="spellStart"/>
      <w:r w:rsidR="00E818CB" w:rsidRPr="00F87FD6">
        <w:t>се</w:t>
      </w:r>
      <w:proofErr w:type="spellEnd"/>
      <w:r w:rsidR="00E818CB" w:rsidRPr="00F87FD6">
        <w:t xml:space="preserve"> </w:t>
      </w:r>
      <w:r w:rsidR="00E818CB">
        <w:rPr>
          <w:lang w:val="sr-Cyrl-RS"/>
        </w:rPr>
        <w:t>збирно</w:t>
      </w:r>
      <w:r w:rsidR="00E818CB" w:rsidRPr="00F87FD6">
        <w:t>,</w:t>
      </w:r>
      <w:r w:rsidR="00E818CB">
        <w:t xml:space="preserve"> у </w:t>
      </w:r>
      <w:proofErr w:type="spellStart"/>
      <w:r w:rsidR="00E818CB">
        <w:t>постојећем</w:t>
      </w:r>
      <w:proofErr w:type="spellEnd"/>
      <w:r w:rsidR="00E818CB">
        <w:t xml:space="preserve"> „</w:t>
      </w:r>
      <w:proofErr w:type="spellStart"/>
      <w:r w:rsidR="00E818CB">
        <w:t>виђеном</w:t>
      </w:r>
      <w:proofErr w:type="spellEnd"/>
      <w:r w:rsidR="00E818CB">
        <w:t xml:space="preserve"> </w:t>
      </w:r>
      <w:proofErr w:type="spellStart"/>
      <w:r w:rsidR="00E818CB">
        <w:t>стањуˮ</w:t>
      </w:r>
      <w:proofErr w:type="spellEnd"/>
      <w:r w:rsidR="00E818CB">
        <w:t xml:space="preserve">, </w:t>
      </w:r>
      <w:proofErr w:type="spellStart"/>
      <w:r w:rsidR="00E818CB">
        <w:t>без</w:t>
      </w:r>
      <w:proofErr w:type="spellEnd"/>
      <w:r w:rsidR="00E818CB">
        <w:t xml:space="preserve"> </w:t>
      </w:r>
      <w:proofErr w:type="spellStart"/>
      <w:r w:rsidR="00E818CB">
        <w:t>права</w:t>
      </w:r>
      <w:proofErr w:type="spellEnd"/>
      <w:r w:rsidR="00E818CB">
        <w:t xml:space="preserve"> </w:t>
      </w:r>
      <w:proofErr w:type="spellStart"/>
      <w:r w:rsidR="00E818CB">
        <w:t>купца</w:t>
      </w:r>
      <w:proofErr w:type="spellEnd"/>
      <w:r w:rsidR="00E818CB">
        <w:t xml:space="preserve"> </w:t>
      </w:r>
      <w:proofErr w:type="spellStart"/>
      <w:r w:rsidR="00E818CB">
        <w:t>на</w:t>
      </w:r>
      <w:proofErr w:type="spellEnd"/>
      <w:r w:rsidR="00E818CB">
        <w:t xml:space="preserve"> </w:t>
      </w:r>
      <w:proofErr w:type="spellStart"/>
      <w:r w:rsidR="00E818CB">
        <w:t>накнадне</w:t>
      </w:r>
      <w:proofErr w:type="spellEnd"/>
      <w:r w:rsidR="00E818CB">
        <w:t xml:space="preserve"> </w:t>
      </w:r>
      <w:proofErr w:type="spellStart"/>
      <w:r w:rsidR="00E818CB">
        <w:t>рекламације</w:t>
      </w:r>
      <w:proofErr w:type="spellEnd"/>
      <w:r w:rsidR="00E818CB">
        <w:t xml:space="preserve">, </w:t>
      </w:r>
      <w:proofErr w:type="spellStart"/>
      <w:r w:rsidR="00E818CB">
        <w:t>по</w:t>
      </w:r>
      <w:proofErr w:type="spellEnd"/>
      <w:r w:rsidR="00E818CB">
        <w:t xml:space="preserve"> </w:t>
      </w:r>
      <w:proofErr w:type="spellStart"/>
      <w:r w:rsidR="00E818CB">
        <w:t>укуп</w:t>
      </w:r>
      <w:r w:rsidR="00B5624A">
        <w:t>ној</w:t>
      </w:r>
      <w:proofErr w:type="spellEnd"/>
      <w:r w:rsidR="00B5624A">
        <w:t xml:space="preserve"> </w:t>
      </w:r>
      <w:proofErr w:type="spellStart"/>
      <w:r w:rsidR="00B5624A">
        <w:t>почетној</w:t>
      </w:r>
      <w:proofErr w:type="spellEnd"/>
      <w:r w:rsidR="00B5624A">
        <w:t xml:space="preserve"> </w:t>
      </w:r>
      <w:proofErr w:type="spellStart"/>
      <w:r w:rsidR="00B5624A">
        <w:t>цени</w:t>
      </w:r>
      <w:proofErr w:type="spellEnd"/>
      <w:r w:rsidR="00B5624A">
        <w:t xml:space="preserve"> у </w:t>
      </w:r>
      <w:proofErr w:type="spellStart"/>
      <w:r w:rsidR="00B5624A">
        <w:t>износу</w:t>
      </w:r>
      <w:proofErr w:type="spellEnd"/>
      <w:r w:rsidR="00B5624A">
        <w:t xml:space="preserve"> </w:t>
      </w:r>
      <w:proofErr w:type="spellStart"/>
      <w:r w:rsidR="00B5624A">
        <w:t>од</w:t>
      </w:r>
      <w:proofErr w:type="spellEnd"/>
      <w:r w:rsidR="00B5624A">
        <w:t xml:space="preserve"> 202</w:t>
      </w:r>
      <w:r w:rsidR="00E818CB">
        <w:t>.000,</w:t>
      </w:r>
      <w:r w:rsidR="00E818CB">
        <w:rPr>
          <w:lang w:val="sr-Cyrl-RS"/>
        </w:rPr>
        <w:t xml:space="preserve">00 </w:t>
      </w:r>
      <w:r w:rsidR="000A6901">
        <w:rPr>
          <w:lang w:val="sr-Cyrl-RS"/>
        </w:rPr>
        <w:t xml:space="preserve">(двестадвехиљаде) </w:t>
      </w:r>
      <w:proofErr w:type="spellStart"/>
      <w:r w:rsidR="00E818CB">
        <w:t>динара</w:t>
      </w:r>
      <w:proofErr w:type="spellEnd"/>
      <w:r w:rsidR="00E818CB">
        <w:t xml:space="preserve">, </w:t>
      </w:r>
      <w:proofErr w:type="spellStart"/>
      <w:r w:rsidR="000A6901">
        <w:t>прикупљањем</w:t>
      </w:r>
      <w:proofErr w:type="spellEnd"/>
      <w:r w:rsidR="000A6901">
        <w:t xml:space="preserve"> </w:t>
      </w:r>
      <w:proofErr w:type="spellStart"/>
      <w:r w:rsidR="000A6901">
        <w:t>писаних</w:t>
      </w:r>
      <w:proofErr w:type="spellEnd"/>
      <w:r w:rsidR="000A6901">
        <w:t xml:space="preserve"> </w:t>
      </w:r>
      <w:proofErr w:type="spellStart"/>
      <w:r w:rsidR="000A6901">
        <w:t>затворених</w:t>
      </w:r>
      <w:proofErr w:type="spellEnd"/>
      <w:r w:rsidR="000A6901">
        <w:t xml:space="preserve"> </w:t>
      </w:r>
      <w:proofErr w:type="spellStart"/>
      <w:r w:rsidR="000A6901">
        <w:t>понуда</w:t>
      </w:r>
      <w:proofErr w:type="spellEnd"/>
      <w:r w:rsidR="000A6901">
        <w:t xml:space="preserve">.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Коначна</w:t>
      </w:r>
      <w:proofErr w:type="spellEnd"/>
      <w:r>
        <w:t xml:space="preserve"> </w:t>
      </w:r>
      <w:proofErr w:type="spellStart"/>
      <w:r>
        <w:t>купопродајна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r>
        <w:rPr>
          <w:lang w:val="sr-Cyrl-RS"/>
        </w:rPr>
        <w:t>писаних</w:t>
      </w:r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>, а на основу примене критеријума највише понуђене цене, а која не може бити нижа од назначене укупне почетне купопродајне цене</w:t>
      </w:r>
      <w:r>
        <w:t xml:space="preserve">.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Коначну</w:t>
      </w:r>
      <w:proofErr w:type="spellEnd"/>
      <w:r>
        <w:t xml:space="preserve"> </w:t>
      </w:r>
      <w:proofErr w:type="spellStart"/>
      <w:r>
        <w:t>купопродајну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rPr>
          <w:lang w:val="sr-Cyrl-RS"/>
        </w:rPr>
        <w:t xml:space="preserve"> из Табеле</w:t>
      </w:r>
      <w:r>
        <w:t xml:space="preserve"> </w:t>
      </w:r>
      <w:r>
        <w:rPr>
          <w:lang w:val="sr-Cyrl-RS"/>
        </w:rPr>
        <w:t>у</w:t>
      </w:r>
      <w:proofErr w:type="spellStart"/>
      <w:r>
        <w:t>тврђен</w:t>
      </w:r>
      <w:proofErr w:type="spellEnd"/>
      <w:r>
        <w:rPr>
          <w:lang w:val="sr-Cyrl-RS"/>
        </w:rPr>
        <w:t>е</w:t>
      </w:r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уплатиће</w:t>
      </w:r>
      <w:proofErr w:type="spellEnd"/>
      <w:r>
        <w:rPr>
          <w:lang w:val="sr-Cyrl-RS"/>
        </w:rPr>
        <w:t xml:space="preserve"> изабрани понуђач на рачун</w:t>
      </w:r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r>
        <w:rPr>
          <w:lang w:val="sr-Cyrl-RS"/>
        </w:rPr>
        <w:t>Србије</w:t>
      </w:r>
      <w:r>
        <w:t xml:space="preserve">,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датим</w:t>
      </w:r>
      <w:proofErr w:type="spellEnd"/>
      <w:r>
        <w:t xml:space="preserve"> </w:t>
      </w:r>
      <w:proofErr w:type="spellStart"/>
      <w:r>
        <w:t>инструкцијама</w:t>
      </w:r>
      <w:proofErr w:type="spellEnd"/>
      <w:r>
        <w:t xml:space="preserve">.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купопродајне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8 (</w:t>
      </w:r>
      <w:proofErr w:type="spellStart"/>
      <w:r>
        <w:t>осам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купопродајног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проистекну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падају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терет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>.</w:t>
      </w:r>
    </w:p>
    <w:p w:rsidR="008B6767" w:rsidRPr="00FE3A45" w:rsidRDefault="008B6767" w:rsidP="008B6767">
      <w:pPr>
        <w:spacing w:after="0" w:line="240" w:lineRule="auto"/>
        <w:jc w:val="both"/>
        <w:rPr>
          <w:lang w:val="sr-Cyrl-RS"/>
        </w:rPr>
      </w:pPr>
    </w:p>
    <w:p w:rsidR="008B6767" w:rsidRDefault="008B6767" w:rsidP="008B6767">
      <w:pPr>
        <w:spacing w:after="0" w:line="240" w:lineRule="auto"/>
        <w:jc w:val="both"/>
      </w:pPr>
      <w:r>
        <w:t xml:space="preserve">3. УСЛОВИ ПРИЈАВЉИВАЊА                           </w:t>
      </w:r>
    </w:p>
    <w:p w:rsidR="00FE3A45" w:rsidRDefault="008B6767" w:rsidP="008B6767">
      <w:pPr>
        <w:spacing w:after="0" w:line="240" w:lineRule="auto"/>
        <w:jc w:val="both"/>
      </w:pPr>
      <w:proofErr w:type="spellStart"/>
      <w:r>
        <w:t>Рок</w:t>
      </w:r>
      <w:proofErr w:type="spellEnd"/>
      <w:r w:rsidR="00D10382">
        <w:t xml:space="preserve"> </w:t>
      </w:r>
      <w:proofErr w:type="spellStart"/>
      <w:r w:rsidR="00D10382">
        <w:t>за</w:t>
      </w:r>
      <w:proofErr w:type="spellEnd"/>
      <w:r w:rsidR="00D10382">
        <w:t xml:space="preserve"> </w:t>
      </w:r>
      <w:proofErr w:type="spellStart"/>
      <w:r w:rsidR="00D10382">
        <w:t>подношење</w:t>
      </w:r>
      <w:proofErr w:type="spellEnd"/>
      <w:r w:rsidR="00D10382">
        <w:t xml:space="preserve"> </w:t>
      </w:r>
      <w:proofErr w:type="spellStart"/>
      <w:r w:rsidR="00D10382">
        <w:t>понуда</w:t>
      </w:r>
      <w:proofErr w:type="spellEnd"/>
      <w:r w:rsidR="00D10382">
        <w:t xml:space="preserve"> </w:t>
      </w:r>
      <w:proofErr w:type="spellStart"/>
      <w:r w:rsidR="00D10382">
        <w:t>је</w:t>
      </w:r>
      <w:proofErr w:type="spellEnd"/>
      <w:r w:rsidR="00D10382">
        <w:t xml:space="preserve"> </w:t>
      </w:r>
      <w:r w:rsidR="00D10382" w:rsidRPr="000A6901">
        <w:rPr>
          <w:b/>
        </w:rPr>
        <w:t>15 (</w:t>
      </w:r>
      <w:proofErr w:type="spellStart"/>
      <w:r w:rsidR="00D10382" w:rsidRPr="000A6901">
        <w:rPr>
          <w:b/>
        </w:rPr>
        <w:t>пет</w:t>
      </w:r>
      <w:r w:rsidRPr="000A6901">
        <w:rPr>
          <w:b/>
        </w:rPr>
        <w:t>н</w:t>
      </w:r>
      <w:proofErr w:type="spellEnd"/>
      <w:r w:rsidR="00D10382" w:rsidRPr="000A6901">
        <w:rPr>
          <w:b/>
          <w:lang w:val="sr-Cyrl-RS"/>
        </w:rPr>
        <w:t>а</w:t>
      </w:r>
      <w:proofErr w:type="spellStart"/>
      <w:r w:rsidRPr="000A6901">
        <w:rPr>
          <w:b/>
        </w:rPr>
        <w:t>ест</w:t>
      </w:r>
      <w:proofErr w:type="spellEnd"/>
      <w:r w:rsidRPr="000A6901">
        <w:rPr>
          <w:b/>
        </w:rPr>
        <w:t xml:space="preserve">) </w:t>
      </w:r>
      <w:proofErr w:type="spellStart"/>
      <w:r w:rsidRPr="000A6901">
        <w:rPr>
          <w:b/>
        </w:rP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r w:rsidR="008D2171">
        <w:rPr>
          <w:lang w:val="sr-Cyrl-RS"/>
        </w:rPr>
        <w:t>јавног позива</w:t>
      </w:r>
      <w:r>
        <w:t xml:space="preserve">.    </w:t>
      </w:r>
    </w:p>
    <w:p w:rsidR="00D95B78" w:rsidRDefault="008B6767" w:rsidP="008B6767">
      <w:pPr>
        <w:spacing w:after="0" w:line="240" w:lineRule="auto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r w:rsidR="008D2171">
        <w:rPr>
          <w:lang w:val="sr-Cyrl-RS"/>
        </w:rPr>
        <w:t>у позиву</w:t>
      </w:r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r w:rsidR="008D2171">
        <w:rPr>
          <w:lang w:val="sr-Cyrl-RS"/>
        </w:rPr>
        <w:t>позива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. 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Уредна</w:t>
      </w:r>
      <w:proofErr w:type="spellEnd"/>
      <w:r>
        <w:t xml:space="preserve"> и </w:t>
      </w:r>
      <w:proofErr w:type="spellStart"/>
      <w:r>
        <w:t>потпуна</w:t>
      </w:r>
      <w:proofErr w:type="spellEnd"/>
      <w:r>
        <w:t xml:space="preserve"> </w:t>
      </w:r>
      <w:r>
        <w:rPr>
          <w:lang w:val="sr-Cyrl-RS"/>
        </w:rPr>
        <w:t>писана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: </w:t>
      </w:r>
      <w:proofErr w:type="spellStart"/>
      <w:r>
        <w:t>висину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купопродајне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изражене</w:t>
      </w:r>
      <w:proofErr w:type="spellEnd"/>
      <w:r>
        <w:t xml:space="preserve"> у </w:t>
      </w:r>
      <w:r>
        <w:rPr>
          <w:lang w:val="sr-Cyrl-RS"/>
        </w:rPr>
        <w:t>динарима</w:t>
      </w:r>
      <w:r>
        <w:t xml:space="preserve"> и</w:t>
      </w:r>
      <w:r>
        <w:rPr>
          <w:lang w:val="sr-Cyrl-RS"/>
        </w:rPr>
        <w:t xml:space="preserve"> све захтеване податке.</w:t>
      </w:r>
      <w:r>
        <w:t xml:space="preserve">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Уредна</w:t>
      </w:r>
      <w:proofErr w:type="spellEnd"/>
      <w:r>
        <w:t xml:space="preserve"> и </w:t>
      </w:r>
      <w:proofErr w:type="spellStart"/>
      <w:r>
        <w:t>потпуна</w:t>
      </w:r>
      <w:proofErr w:type="spellEnd"/>
      <w:r>
        <w:t xml:space="preserve"> </w:t>
      </w:r>
      <w:r>
        <w:rPr>
          <w:lang w:val="sr-Cyrl-RS"/>
        </w:rPr>
        <w:t>писана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потписана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r>
        <w:rPr>
          <w:lang w:val="sr-Cyrl-RS"/>
        </w:rPr>
        <w:t xml:space="preserve">од стране овлашћеног лица </w:t>
      </w:r>
      <w:r>
        <w:t xml:space="preserve">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 </w:t>
      </w:r>
    </w:p>
    <w:p w:rsidR="000A6901" w:rsidRPr="009E501D" w:rsidRDefault="000A6901" w:rsidP="000A6901">
      <w:pPr>
        <w:spacing w:after="0" w:line="240" w:lineRule="auto"/>
        <w:jc w:val="both"/>
        <w:rPr>
          <w:u w:val="single"/>
        </w:rPr>
      </w:pPr>
      <w:proofErr w:type="spellStart"/>
      <w:r w:rsidRPr="009E501D">
        <w:rPr>
          <w:u w:val="single"/>
        </w:rPr>
        <w:t>За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физичка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лица</w:t>
      </w:r>
      <w:proofErr w:type="spellEnd"/>
      <w:r w:rsidRPr="009E501D">
        <w:rPr>
          <w:u w:val="single"/>
        </w:rPr>
        <w:t xml:space="preserve">: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 xml:space="preserve">;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адресу</w:t>
      </w:r>
      <w:proofErr w:type="spellEnd"/>
      <w:proofErr w:type="gramEnd"/>
      <w:r>
        <w:t xml:space="preserve"> </w:t>
      </w:r>
      <w:proofErr w:type="spellStart"/>
      <w:r>
        <w:t>пребивалишта</w:t>
      </w:r>
      <w:proofErr w:type="spellEnd"/>
      <w:r>
        <w:t xml:space="preserve">;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копију</w:t>
      </w:r>
      <w:proofErr w:type="spellEnd"/>
      <w:proofErr w:type="gram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;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контакт</w:t>
      </w:r>
      <w:proofErr w:type="spellEnd"/>
      <w:proofErr w:type="gramEnd"/>
      <w:r>
        <w:t xml:space="preserve"> </w:t>
      </w:r>
      <w:proofErr w:type="spellStart"/>
      <w:r>
        <w:t>телефон</w:t>
      </w:r>
      <w:proofErr w:type="spellEnd"/>
      <w:r>
        <w:t xml:space="preserve">; </w:t>
      </w:r>
    </w:p>
    <w:p w:rsidR="000A6901" w:rsidRPr="00397F0D" w:rsidRDefault="000A6901" w:rsidP="000A690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мејл адресу (уколико је има);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ако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предузетник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предузетник</w:t>
      </w:r>
      <w:proofErr w:type="spell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 </w:t>
      </w:r>
      <w:proofErr w:type="spellStart"/>
      <w:r>
        <w:t>регистар</w:t>
      </w:r>
      <w:proofErr w:type="spellEnd"/>
      <w:r>
        <w:t xml:space="preserve">, </w:t>
      </w:r>
      <w:r>
        <w:rPr>
          <w:lang w:val="sr-Cyrl-RS"/>
        </w:rPr>
        <w:t xml:space="preserve">односно </w:t>
      </w:r>
      <w:proofErr w:type="spellStart"/>
      <w:r>
        <w:t>потврду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 </w:t>
      </w:r>
      <w:proofErr w:type="spellStart"/>
      <w:r>
        <w:t>идентификационом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. </w:t>
      </w:r>
    </w:p>
    <w:p w:rsidR="000A6901" w:rsidRPr="009E501D" w:rsidRDefault="000A6901" w:rsidP="000A6901">
      <w:pPr>
        <w:spacing w:after="0" w:line="240" w:lineRule="auto"/>
        <w:jc w:val="both"/>
        <w:rPr>
          <w:u w:val="single"/>
        </w:rPr>
      </w:pPr>
      <w:proofErr w:type="spellStart"/>
      <w:r w:rsidRPr="009E501D">
        <w:rPr>
          <w:u w:val="single"/>
        </w:rPr>
        <w:t>За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правна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лица</w:t>
      </w:r>
      <w:proofErr w:type="spellEnd"/>
      <w:r w:rsidRPr="009E501D">
        <w:rPr>
          <w:u w:val="single"/>
        </w:rPr>
        <w:t xml:space="preserve">: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назив</w:t>
      </w:r>
      <w:proofErr w:type="spellEnd"/>
      <w:proofErr w:type="gramEnd"/>
      <w:r>
        <w:t xml:space="preserve"> и </w:t>
      </w:r>
      <w:proofErr w:type="spellStart"/>
      <w:r>
        <w:t>седиште</w:t>
      </w:r>
      <w:proofErr w:type="spellEnd"/>
      <w:r>
        <w:t xml:space="preserve">;  </w:t>
      </w:r>
    </w:p>
    <w:p w:rsidR="000A6901" w:rsidRPr="00397F0D" w:rsidRDefault="000A6901" w:rsidP="000A6901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контакт особа, телефон и мејл адреса;</w:t>
      </w:r>
    </w:p>
    <w:p w:rsidR="000A6901" w:rsidRDefault="000A6901" w:rsidP="000A6901">
      <w:pPr>
        <w:spacing w:after="0" w:line="240" w:lineRule="auto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извод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 </w:t>
      </w:r>
      <w:proofErr w:type="spellStart"/>
      <w:r>
        <w:t>лице</w:t>
      </w:r>
      <w:proofErr w:type="spellEnd"/>
      <w:r>
        <w:rPr>
          <w:lang w:val="sr-Cyrl-RS"/>
        </w:rPr>
        <w:t xml:space="preserve">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копију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 w:rsidRPr="00011C88">
        <w:rPr>
          <w:color w:val="000000" w:themeColor="text1"/>
          <w:lang w:val="sr-Cyrl-RS"/>
        </w:rPr>
        <w:t>/потврду</w:t>
      </w:r>
      <w:r w:rsidRPr="00011C88">
        <w:rPr>
          <w:color w:val="000000" w:themeColor="text1"/>
        </w:rPr>
        <w:t xml:space="preserve"> </w:t>
      </w:r>
      <w:r>
        <w:t xml:space="preserve">о </w:t>
      </w:r>
      <w:proofErr w:type="spellStart"/>
      <w:r>
        <w:t>отварању</w:t>
      </w:r>
      <w:proofErr w:type="spellEnd"/>
      <w:r>
        <w:t xml:space="preserve"> и </w:t>
      </w:r>
      <w:proofErr w:type="spellStart"/>
      <w:r>
        <w:t>вођењу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;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копију</w:t>
      </w:r>
      <w:proofErr w:type="spellEnd"/>
      <w:proofErr w:type="gram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додељеном</w:t>
      </w:r>
      <w:proofErr w:type="spellEnd"/>
      <w:r>
        <w:t xml:space="preserve">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идентификационом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– ПИБ;  </w:t>
      </w:r>
    </w:p>
    <w:p w:rsidR="000A6901" w:rsidRDefault="000A6901" w:rsidP="000A6901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 xml:space="preserve">),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овереним</w:t>
      </w:r>
      <w:proofErr w:type="spellEnd"/>
      <w:r>
        <w:t xml:space="preserve">  </w:t>
      </w:r>
      <w:proofErr w:type="spellStart"/>
      <w:r>
        <w:t>картоном</w:t>
      </w:r>
      <w:proofErr w:type="spellEnd"/>
      <w:r>
        <w:t xml:space="preserve"> </w:t>
      </w:r>
      <w:proofErr w:type="spellStart"/>
      <w:r>
        <w:t>депонованих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>.</w:t>
      </w:r>
    </w:p>
    <w:p w:rsidR="000A6901" w:rsidRDefault="000A6901" w:rsidP="000A6901">
      <w:pPr>
        <w:spacing w:after="0" w:line="240" w:lineRule="auto"/>
        <w:jc w:val="both"/>
      </w:pPr>
    </w:p>
    <w:p w:rsidR="000A6901" w:rsidRDefault="000A6901" w:rsidP="000A6901">
      <w:pPr>
        <w:spacing w:after="0" w:line="240" w:lineRule="auto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,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бележника</w:t>
      </w:r>
      <w:proofErr w:type="spellEnd"/>
      <w:r>
        <w:t>.</w:t>
      </w:r>
    </w:p>
    <w:p w:rsidR="00FE3A45" w:rsidRDefault="00FE3A45" w:rsidP="008B6767">
      <w:pPr>
        <w:spacing w:after="0" w:line="240" w:lineRule="auto"/>
        <w:jc w:val="both"/>
      </w:pPr>
    </w:p>
    <w:p w:rsidR="000A6901" w:rsidRDefault="000A6901" w:rsidP="000A6901">
      <w:pPr>
        <w:spacing w:after="0" w:line="240" w:lineRule="auto"/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 w:rsidRPr="000534C5">
        <w:t>унутрашње</w:t>
      </w:r>
      <w:proofErr w:type="spellEnd"/>
      <w:r w:rsidRPr="000534C5">
        <w:t xml:space="preserve"> и </w:t>
      </w:r>
      <w:proofErr w:type="spellStart"/>
      <w:r w:rsidRPr="000534C5">
        <w:t>спољне</w:t>
      </w:r>
      <w:proofErr w:type="spellEnd"/>
      <w:r w:rsidRPr="000534C5">
        <w:t xml:space="preserve"> </w:t>
      </w:r>
      <w:proofErr w:type="spellStart"/>
      <w:r w:rsidRPr="000534C5">
        <w:t>трговине</w:t>
      </w:r>
      <w:proofErr w:type="spellEnd"/>
      <w:r>
        <w:t xml:space="preserve">, </w:t>
      </w:r>
      <w:r>
        <w:rPr>
          <w:lang w:val="sr-Cyrl-RS"/>
        </w:rPr>
        <w:t>Немањина</w:t>
      </w:r>
      <w:r>
        <w:t xml:space="preserve"> </w:t>
      </w:r>
      <w:proofErr w:type="spellStart"/>
      <w:r>
        <w:t>број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препорученом</w:t>
      </w:r>
      <w:proofErr w:type="spellEnd"/>
      <w:r>
        <w:t xml:space="preserve"> </w:t>
      </w:r>
      <w:proofErr w:type="spellStart"/>
      <w:r>
        <w:t>пошиљком</w:t>
      </w:r>
      <w:proofErr w:type="spellEnd"/>
      <w:r>
        <w:t xml:space="preserve"> </w:t>
      </w:r>
      <w:r>
        <w:rPr>
          <w:lang w:val="sr-Cyrl-RS"/>
        </w:rPr>
        <w:t xml:space="preserve">или на писарници Управе за заједничке послове републичких органа, на адреси Београд, Немањина 22-26 – за Министарство </w:t>
      </w:r>
      <w:r w:rsidRPr="000534C5">
        <w:rPr>
          <w:lang w:val="sr-Cyrl-RS"/>
        </w:rPr>
        <w:t>унутрашње и спољне трговине</w:t>
      </w:r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r>
        <w:rPr>
          <w:lang w:val="sr-Cyrl-RS"/>
        </w:rPr>
        <w:t xml:space="preserve">од </w:t>
      </w:r>
      <w:r>
        <w:t>8</w:t>
      </w:r>
      <w:r>
        <w:rPr>
          <w:lang w:val="sr-Cyrl-RS"/>
        </w:rPr>
        <w:t>.</w:t>
      </w:r>
      <w:r>
        <w:t>0</w:t>
      </w:r>
      <w:r>
        <w:rPr>
          <w:lang w:val="sr-Cyrl-RS"/>
        </w:rPr>
        <w:t xml:space="preserve">0 </w:t>
      </w:r>
      <w:proofErr w:type="spellStart"/>
      <w:r>
        <w:t>до</w:t>
      </w:r>
      <w:proofErr w:type="spellEnd"/>
      <w:r>
        <w:t xml:space="preserve"> 14</w:t>
      </w:r>
      <w:r>
        <w:rPr>
          <w:lang w:val="sr-Cyrl-RS"/>
        </w:rPr>
        <w:t>.</w:t>
      </w:r>
      <w:r>
        <w:t xml:space="preserve">00 </w:t>
      </w:r>
      <w:proofErr w:type="spellStart"/>
      <w:r>
        <w:t>часова</w:t>
      </w:r>
      <w:proofErr w:type="spellEnd"/>
      <w:r>
        <w:rPr>
          <w:lang w:val="sr-Cyrl-RS"/>
        </w:rPr>
        <w:t>,</w:t>
      </w:r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назначено</w:t>
      </w:r>
      <w:proofErr w:type="spellEnd"/>
      <w:r>
        <w:t>: „</w:t>
      </w:r>
      <w:r w:rsidRPr="009E501D">
        <w:rPr>
          <w:b/>
        </w:rPr>
        <w:t>ПОНУДА - НЕ ОТВАРАТИ</w:t>
      </w:r>
      <w:r>
        <w:rPr>
          <w:b/>
          <w:lang w:val="sr-Cyrl-RS"/>
        </w:rPr>
        <w:t xml:space="preserve"> – </w:t>
      </w:r>
      <w:r w:rsidR="008D2171">
        <w:rPr>
          <w:b/>
          <w:lang w:val="sr-Cyrl-RS"/>
        </w:rPr>
        <w:t xml:space="preserve">Јавни </w:t>
      </w:r>
      <w:r w:rsidR="008D2171">
        <w:rPr>
          <w:b/>
          <w:lang w:val="sr-Cyrl-RS"/>
        </w:rPr>
        <w:lastRenderedPageBreak/>
        <w:t>позив</w:t>
      </w:r>
      <w:r>
        <w:rPr>
          <w:b/>
          <w:lang w:val="sr-Cyrl-RS"/>
        </w:rPr>
        <w:t xml:space="preserve"> број 2</w:t>
      </w:r>
      <w:r>
        <w:rPr>
          <w:lang w:val="sr-Cyrl-RS"/>
        </w:rPr>
        <w:t xml:space="preserve"> -</w:t>
      </w:r>
      <w:r>
        <w:t xml:space="preserve"> ЗА КУПОВИНУ ПОКРЕТНИХ СТВАРИ – ВОЗИЛА ПОРЕСКИХ ОБ</w:t>
      </w:r>
      <w:r>
        <w:rPr>
          <w:lang w:val="sr-Cyrl-RS"/>
        </w:rPr>
        <w:t>А</w:t>
      </w:r>
      <w:r>
        <w:t>ВЕЗНИКА</w:t>
      </w:r>
      <w:r>
        <w:rPr>
          <w:lang w:val="sr-Cyrl-RS"/>
        </w:rPr>
        <w:t>.</w:t>
      </w:r>
      <w:r>
        <w:t xml:space="preserve">” </w:t>
      </w:r>
    </w:p>
    <w:p w:rsidR="000A6901" w:rsidRDefault="000A6901" w:rsidP="000A6901">
      <w:pPr>
        <w:spacing w:after="0" w:line="240" w:lineRule="auto"/>
        <w:jc w:val="both"/>
      </w:pPr>
    </w:p>
    <w:p w:rsidR="000A6901" w:rsidRDefault="000A6901" w:rsidP="000A6901">
      <w:pPr>
        <w:spacing w:after="0" w:line="240" w:lineRule="auto"/>
        <w:jc w:val="both"/>
      </w:pPr>
      <w:proofErr w:type="spellStart"/>
      <w:r>
        <w:t>Понуда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у </w:t>
      </w:r>
      <w:r>
        <w:rPr>
          <w:lang w:val="sr-Cyrl-RS"/>
        </w:rPr>
        <w:t>динарима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укупне почетне цене,</w:t>
      </w:r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разматрати</w:t>
      </w:r>
      <w:proofErr w:type="spellEnd"/>
      <w:r>
        <w:t xml:space="preserve">. </w:t>
      </w:r>
      <w:proofErr w:type="spellStart"/>
      <w:r>
        <w:t>Цена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rPr>
          <w:lang w:val="sr-Cyrl-RS"/>
        </w:rPr>
        <w:t xml:space="preserve"> наведена </w:t>
      </w:r>
      <w:r w:rsidRPr="009D388D">
        <w:rPr>
          <w:b/>
          <w:color w:val="auto"/>
          <w:lang w:val="sr-Cyrl-RS"/>
        </w:rPr>
        <w:t>УКУПНО</w:t>
      </w:r>
      <w:r w:rsidRPr="001806AB">
        <w:rPr>
          <w:b/>
          <w:lang w:val="sr-Cyrl-RS"/>
        </w:rPr>
        <w:t xml:space="preserve"> </w:t>
      </w:r>
      <w:r>
        <w:rPr>
          <w:lang w:val="sr-Cyrl-RS"/>
        </w:rPr>
        <w:t>за све покретне ствари на које се понуда односи</w:t>
      </w:r>
      <w:r>
        <w:t xml:space="preserve">.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поништи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r w:rsidR="008D2171">
        <w:rPr>
          <w:lang w:val="sr-Cyrl-RS"/>
        </w:rPr>
        <w:t>позиву</w:t>
      </w:r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неодговарајућих</w:t>
      </w:r>
      <w:proofErr w:type="spellEnd"/>
      <w:r>
        <w:t xml:space="preserve"> и </w:t>
      </w:r>
      <w:proofErr w:type="spellStart"/>
      <w:r>
        <w:t>непотпуних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никакву</w:t>
      </w:r>
      <w:proofErr w:type="spellEnd"/>
      <w:r>
        <w:t xml:space="preserve"> </w:t>
      </w:r>
      <w:proofErr w:type="spellStart"/>
      <w:r>
        <w:t>одговорност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какву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proofErr w:type="spellStart"/>
      <w:r>
        <w:t>евентуално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имати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и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>4. ИЗБОР НАЈПОВОЉНИЈЕГ ПОНУЂАЧА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Комисиј</w:t>
      </w:r>
      <w:proofErr w:type="spellEnd"/>
      <w:r>
        <w:rPr>
          <w:lang w:val="sr-Cyrl-RS"/>
        </w:rPr>
        <w:t xml:space="preserve">а Министарства </w:t>
      </w:r>
      <w:proofErr w:type="spellStart"/>
      <w:r w:rsidRPr="000534C5">
        <w:t>унутрашње</w:t>
      </w:r>
      <w:proofErr w:type="spellEnd"/>
      <w:r w:rsidRPr="000534C5">
        <w:t xml:space="preserve"> и </w:t>
      </w:r>
      <w:proofErr w:type="spellStart"/>
      <w:r w:rsidRPr="000534C5">
        <w:t>спољне</w:t>
      </w:r>
      <w:proofErr w:type="spellEnd"/>
      <w:r w:rsidRPr="000534C5">
        <w:t xml:space="preserve"> </w:t>
      </w:r>
      <w:proofErr w:type="spellStart"/>
      <w:r w:rsidRPr="000534C5">
        <w:t>трговине</w:t>
      </w:r>
      <w:proofErr w:type="spellEnd"/>
      <w:r>
        <w:rPr>
          <w:lang w:val="sr-Cyrl-RS"/>
        </w:rPr>
        <w:t xml:space="preserve"> ће</w:t>
      </w:r>
      <w:r>
        <w:t xml:space="preserve"> </w:t>
      </w:r>
      <w:proofErr w:type="spellStart"/>
      <w:r>
        <w:t>спров</w:t>
      </w:r>
      <w:proofErr w:type="spellEnd"/>
      <w:r>
        <w:rPr>
          <w:lang w:val="sr-Cyrl-RS"/>
        </w:rPr>
        <w:t>ести</w:t>
      </w:r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r w:rsidR="008D2171">
        <w:rPr>
          <w:lang w:val="sr-Cyrl-RS"/>
        </w:rPr>
        <w:t>позиву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продају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. </w:t>
      </w: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купородајне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приспелих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комисијски</w:t>
      </w:r>
      <w:proofErr w:type="spellEnd"/>
      <w:r>
        <w:t xml:space="preserve"> </w:t>
      </w:r>
      <w:proofErr w:type="spellStart"/>
      <w:r>
        <w:t>дана</w:t>
      </w:r>
      <w:proofErr w:type="spellEnd"/>
      <w:r w:rsidR="00291724">
        <w:rPr>
          <w:lang w:val="sr-Cyrl-RS"/>
        </w:rPr>
        <w:t xml:space="preserve"> 25. јула</w:t>
      </w:r>
      <w:bookmarkStart w:id="0" w:name="_GoBack"/>
      <w:bookmarkEnd w:id="0"/>
      <w:r>
        <w:rPr>
          <w:lang w:val="sr-Cyrl-RS"/>
        </w:rPr>
        <w:t xml:space="preserve"> 2024</w:t>
      </w:r>
      <w:r w:rsidRPr="00BF181C">
        <w:t xml:space="preserve">. </w:t>
      </w:r>
      <w:proofErr w:type="spellStart"/>
      <w:proofErr w:type="gramStart"/>
      <w:r w:rsidRPr="00BF181C">
        <w:t>године</w:t>
      </w:r>
      <w:proofErr w:type="spellEnd"/>
      <w:proofErr w:type="gramEnd"/>
      <w:r w:rsidRPr="00BF181C">
        <w:t xml:space="preserve">, у </w:t>
      </w:r>
      <w:proofErr w:type="spellStart"/>
      <w:r w:rsidRPr="00BF181C">
        <w:t>просторијама</w:t>
      </w:r>
      <w:proofErr w:type="spellEnd"/>
      <w:r w:rsidRPr="00BF181C">
        <w:t xml:space="preserve"> </w:t>
      </w:r>
      <w:proofErr w:type="spellStart"/>
      <w:r w:rsidRPr="00BF181C">
        <w:t>Министарства</w:t>
      </w:r>
      <w:proofErr w:type="spellEnd"/>
      <w:r w:rsidRPr="00BF181C">
        <w:t xml:space="preserve"> </w:t>
      </w:r>
      <w:proofErr w:type="spellStart"/>
      <w:r w:rsidRPr="00D10382">
        <w:t>унутрашње</w:t>
      </w:r>
      <w:proofErr w:type="spellEnd"/>
      <w:r w:rsidRPr="00D10382">
        <w:t xml:space="preserve"> и </w:t>
      </w:r>
      <w:proofErr w:type="spellStart"/>
      <w:r w:rsidRPr="00D10382">
        <w:t>спољне</w:t>
      </w:r>
      <w:proofErr w:type="spellEnd"/>
      <w:r w:rsidRPr="00D10382">
        <w:t xml:space="preserve"> </w:t>
      </w:r>
      <w:proofErr w:type="spellStart"/>
      <w:r w:rsidRPr="00D10382">
        <w:t>трговине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r>
        <w:rPr>
          <w:lang w:val="sr-Cyrl-RS"/>
        </w:rPr>
        <w:t>Немањина</w:t>
      </w:r>
      <w:r>
        <w:t xml:space="preserve"> </w:t>
      </w:r>
      <w:proofErr w:type="spellStart"/>
      <w:r>
        <w:t>број</w:t>
      </w:r>
      <w:proofErr w:type="spellEnd"/>
      <w:r>
        <w:t xml:space="preserve"> 22-26</w:t>
      </w:r>
      <w:r w:rsidRPr="00BF181C">
        <w:t>,</w:t>
      </w:r>
      <w:r w:rsidRPr="00BF181C">
        <w:rPr>
          <w:lang w:val="sr-Cyrl-RS"/>
        </w:rPr>
        <w:t xml:space="preserve"> </w:t>
      </w:r>
      <w:r w:rsidRPr="008C5930">
        <w:rPr>
          <w:lang w:val="sr-Cyrl-RS"/>
        </w:rPr>
        <w:t>(трећи спрат, крило Ц, канцел</w:t>
      </w:r>
      <w:r>
        <w:rPr>
          <w:lang w:val="sr-Cyrl-RS"/>
        </w:rPr>
        <w:t>арија број 9) са почетком у 12.</w:t>
      </w:r>
      <w:r w:rsidRPr="008C5930">
        <w:rPr>
          <w:lang w:val="sr-Cyrl-RS"/>
        </w:rPr>
        <w:t>00 часова.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rPr>
          <w:lang w:val="sr-Cyrl-RS"/>
        </w:rPr>
        <w:t>писаних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пристигне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благовремена</w:t>
      </w:r>
      <w:proofErr w:type="spellEnd"/>
      <w:r>
        <w:t xml:space="preserve"> и </w:t>
      </w:r>
      <w:proofErr w:type="spellStart"/>
      <w:r>
        <w:t>потпуна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</w:p>
    <w:p w:rsidR="000A6901" w:rsidRDefault="000A6901" w:rsidP="000A6901">
      <w:pPr>
        <w:spacing w:after="0" w:line="240" w:lineRule="auto"/>
        <w:jc w:val="both"/>
      </w:pPr>
      <w:proofErr w:type="spellStart"/>
      <w:proofErr w:type="gramStart"/>
      <w:r>
        <w:t>Основни</w:t>
      </w:r>
      <w:proofErr w:type="spellEnd"/>
      <w:r>
        <w:t xml:space="preserve">  </w:t>
      </w:r>
      <w:proofErr w:type="spellStart"/>
      <w:r>
        <w:t>критеријум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  </w:t>
      </w:r>
      <w:proofErr w:type="spellStart"/>
      <w:r>
        <w:t>купородајне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купопродајну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позвати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понудили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купопродајне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увећаним</w:t>
      </w:r>
      <w:proofErr w:type="spellEnd"/>
      <w:r>
        <w:t xml:space="preserve"> </w:t>
      </w:r>
      <w:proofErr w:type="spellStart"/>
      <w:r>
        <w:t>износом</w:t>
      </w:r>
      <w:proofErr w:type="spellEnd"/>
      <w:r>
        <w:t xml:space="preserve">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, а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отворити</w:t>
      </w:r>
      <w:proofErr w:type="spellEnd"/>
      <w:r>
        <w:t xml:space="preserve"> и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. 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позвани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доставили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истоветном</w:t>
      </w:r>
      <w:proofErr w:type="spellEnd"/>
      <w:r>
        <w:t xml:space="preserve"> </w:t>
      </w:r>
      <w:proofErr w:type="spellStart"/>
      <w:r>
        <w:t>купопродајном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>изабере понуду понуђача која је прва пристигла, односно избор се врши по времену пријема понуде</w:t>
      </w:r>
      <w:r>
        <w:t xml:space="preserve">. 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проглашена</w:t>
      </w:r>
      <w:proofErr w:type="spellEnd"/>
      <w:r>
        <w:t xml:space="preserve"> </w:t>
      </w:r>
      <w:proofErr w:type="spellStart"/>
      <w:r>
        <w:t>најповољнијом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потпише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одустао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купопродаје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позван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>.</w:t>
      </w:r>
    </w:p>
    <w:p w:rsidR="000A6901" w:rsidRDefault="000A6901" w:rsidP="000A6901">
      <w:pPr>
        <w:spacing w:after="0" w:line="240" w:lineRule="auto"/>
        <w:jc w:val="both"/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r>
        <w:rPr>
          <w:lang w:val="sr-Cyrl-RS"/>
        </w:rPr>
        <w:t xml:space="preserve">Министарство ће писаним путем обавестити све </w:t>
      </w:r>
      <w:proofErr w:type="spellStart"/>
      <w:r>
        <w:t>учеснике</w:t>
      </w:r>
      <w:proofErr w:type="spellEnd"/>
      <w:r>
        <w:t xml:space="preserve"> </w:t>
      </w:r>
      <w:r w:rsidR="008D2171">
        <w:rPr>
          <w:lang w:val="sr-Cyrl-RS"/>
        </w:rPr>
        <w:t>јавног позива</w:t>
      </w:r>
      <w:r>
        <w:t xml:space="preserve">.   </w:t>
      </w:r>
    </w:p>
    <w:p w:rsidR="000A6901" w:rsidRDefault="000A6901" w:rsidP="000A6901">
      <w:pPr>
        <w:spacing w:after="0" w:line="240" w:lineRule="auto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r w:rsidR="008D2171">
        <w:rPr>
          <w:lang w:val="sr-Cyrl-RS"/>
        </w:rPr>
        <w:t>јавног позива</w:t>
      </w:r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r>
        <w:rPr>
          <w:lang w:val="sr-Cyrl-RS"/>
        </w:rPr>
        <w:t xml:space="preserve">             </w:t>
      </w:r>
      <w:r w:rsidRPr="008C5930">
        <w:rPr>
          <w:lang w:val="sr-Cyrl-RS"/>
        </w:rPr>
        <w:t>064/8188-000</w:t>
      </w:r>
      <w:r>
        <w:rPr>
          <w:lang w:val="sr-Cyrl-RS"/>
        </w:rPr>
        <w:t xml:space="preserve"> – Горан Аксентијевић или на број 011/ </w:t>
      </w:r>
      <w:r w:rsidRPr="008C5930">
        <w:rPr>
          <w:lang w:val="sr-Cyrl-RS"/>
        </w:rPr>
        <w:t>3615-953</w:t>
      </w:r>
      <w:r>
        <w:rPr>
          <w:lang w:val="sr-Cyrl-RS"/>
        </w:rPr>
        <w:t xml:space="preserve">, Одсек за опште послове и руковање имовином, </w:t>
      </w:r>
      <w:r>
        <w:t xml:space="preserve">у </w:t>
      </w:r>
      <w:proofErr w:type="spellStart"/>
      <w:r>
        <w:t>термину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09</w:t>
      </w:r>
      <w:r>
        <w:rPr>
          <w:lang w:val="sr-Cyrl-RS"/>
        </w:rPr>
        <w:t>.</w:t>
      </w:r>
      <w:r>
        <w:t xml:space="preserve">00 </w:t>
      </w:r>
      <w:proofErr w:type="spellStart"/>
      <w:r>
        <w:t>до</w:t>
      </w:r>
      <w:proofErr w:type="spellEnd"/>
      <w:r>
        <w:t xml:space="preserve"> 15</w:t>
      </w:r>
      <w:r>
        <w:rPr>
          <w:lang w:val="sr-Cyrl-RS"/>
        </w:rPr>
        <w:t>.</w:t>
      </w:r>
      <w:r>
        <w:t xml:space="preserve">00 </w:t>
      </w:r>
      <w:proofErr w:type="spellStart"/>
      <w:r>
        <w:t>часова</w:t>
      </w:r>
      <w:proofErr w:type="spellEnd"/>
      <w:r>
        <w:t>.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</w:p>
    <w:p w:rsidR="005704CB" w:rsidRDefault="005704CB" w:rsidP="008B6767">
      <w:pPr>
        <w:spacing w:after="0" w:line="240" w:lineRule="auto"/>
        <w:jc w:val="both"/>
      </w:pPr>
    </w:p>
    <w:sectPr w:rsidR="005704CB" w:rsidSect="00E818CB">
      <w:pgSz w:w="11906" w:h="16838" w:code="9"/>
      <w:pgMar w:top="11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E7"/>
    <w:rsid w:val="0000448D"/>
    <w:rsid w:val="00010DE6"/>
    <w:rsid w:val="000122DE"/>
    <w:rsid w:val="00020D11"/>
    <w:rsid w:val="000319B6"/>
    <w:rsid w:val="000432F7"/>
    <w:rsid w:val="0004395E"/>
    <w:rsid w:val="0004591B"/>
    <w:rsid w:val="00051D51"/>
    <w:rsid w:val="000534C5"/>
    <w:rsid w:val="000535E2"/>
    <w:rsid w:val="00053FAD"/>
    <w:rsid w:val="00054F1F"/>
    <w:rsid w:val="00070C19"/>
    <w:rsid w:val="000715F0"/>
    <w:rsid w:val="00073B84"/>
    <w:rsid w:val="00075489"/>
    <w:rsid w:val="00080F1A"/>
    <w:rsid w:val="00095161"/>
    <w:rsid w:val="000A2C15"/>
    <w:rsid w:val="000A6901"/>
    <w:rsid w:val="000A711E"/>
    <w:rsid w:val="000B066A"/>
    <w:rsid w:val="000B172D"/>
    <w:rsid w:val="000B3DDA"/>
    <w:rsid w:val="000B48AE"/>
    <w:rsid w:val="000C3BF8"/>
    <w:rsid w:val="000C7B06"/>
    <w:rsid w:val="000D53F7"/>
    <w:rsid w:val="000D638B"/>
    <w:rsid w:val="000D6927"/>
    <w:rsid w:val="000E1846"/>
    <w:rsid w:val="000E637F"/>
    <w:rsid w:val="000F323E"/>
    <w:rsid w:val="000F5504"/>
    <w:rsid w:val="00103454"/>
    <w:rsid w:val="00110D3A"/>
    <w:rsid w:val="00113368"/>
    <w:rsid w:val="00116489"/>
    <w:rsid w:val="00123DB7"/>
    <w:rsid w:val="00123EB4"/>
    <w:rsid w:val="0012530F"/>
    <w:rsid w:val="00126180"/>
    <w:rsid w:val="00131C3E"/>
    <w:rsid w:val="00145400"/>
    <w:rsid w:val="00155236"/>
    <w:rsid w:val="00155484"/>
    <w:rsid w:val="00156B5E"/>
    <w:rsid w:val="00162F2E"/>
    <w:rsid w:val="00163466"/>
    <w:rsid w:val="00164FFC"/>
    <w:rsid w:val="001667D0"/>
    <w:rsid w:val="00166CB4"/>
    <w:rsid w:val="00177E58"/>
    <w:rsid w:val="00182308"/>
    <w:rsid w:val="00184EF3"/>
    <w:rsid w:val="00185A8B"/>
    <w:rsid w:val="001909FA"/>
    <w:rsid w:val="00192B8C"/>
    <w:rsid w:val="00194806"/>
    <w:rsid w:val="001A5336"/>
    <w:rsid w:val="001B11EB"/>
    <w:rsid w:val="001E31BA"/>
    <w:rsid w:val="001E562D"/>
    <w:rsid w:val="001E6C87"/>
    <w:rsid w:val="001F3E8B"/>
    <w:rsid w:val="001F6798"/>
    <w:rsid w:val="00203D8A"/>
    <w:rsid w:val="002074F6"/>
    <w:rsid w:val="002155C1"/>
    <w:rsid w:val="002213E7"/>
    <w:rsid w:val="00231435"/>
    <w:rsid w:val="002465D7"/>
    <w:rsid w:val="00250DA8"/>
    <w:rsid w:val="00252838"/>
    <w:rsid w:val="0025478E"/>
    <w:rsid w:val="00271CB4"/>
    <w:rsid w:val="00283903"/>
    <w:rsid w:val="00286DC1"/>
    <w:rsid w:val="00291724"/>
    <w:rsid w:val="0029262E"/>
    <w:rsid w:val="002A4806"/>
    <w:rsid w:val="002A49DA"/>
    <w:rsid w:val="002B0FA0"/>
    <w:rsid w:val="002B4F8B"/>
    <w:rsid w:val="002B675E"/>
    <w:rsid w:val="002B6FC5"/>
    <w:rsid w:val="002B700D"/>
    <w:rsid w:val="002C0A91"/>
    <w:rsid w:val="002C295F"/>
    <w:rsid w:val="002C5CCA"/>
    <w:rsid w:val="002D4AEB"/>
    <w:rsid w:val="002D4D80"/>
    <w:rsid w:val="002E0434"/>
    <w:rsid w:val="002E4C2B"/>
    <w:rsid w:val="002F03FA"/>
    <w:rsid w:val="002F31B1"/>
    <w:rsid w:val="00301942"/>
    <w:rsid w:val="00304652"/>
    <w:rsid w:val="0031459C"/>
    <w:rsid w:val="003147E4"/>
    <w:rsid w:val="003162B1"/>
    <w:rsid w:val="00316414"/>
    <w:rsid w:val="0032581D"/>
    <w:rsid w:val="003327E9"/>
    <w:rsid w:val="00333035"/>
    <w:rsid w:val="0033371F"/>
    <w:rsid w:val="00333C8E"/>
    <w:rsid w:val="00345394"/>
    <w:rsid w:val="00345B02"/>
    <w:rsid w:val="00350180"/>
    <w:rsid w:val="003547AD"/>
    <w:rsid w:val="003563B1"/>
    <w:rsid w:val="0036335D"/>
    <w:rsid w:val="003636F9"/>
    <w:rsid w:val="003638AC"/>
    <w:rsid w:val="003721BD"/>
    <w:rsid w:val="00380656"/>
    <w:rsid w:val="00385990"/>
    <w:rsid w:val="00385EFC"/>
    <w:rsid w:val="00387F40"/>
    <w:rsid w:val="003975E2"/>
    <w:rsid w:val="00397F0D"/>
    <w:rsid w:val="003A4D5E"/>
    <w:rsid w:val="003B2B53"/>
    <w:rsid w:val="003B5E8B"/>
    <w:rsid w:val="003C0267"/>
    <w:rsid w:val="003D1AF0"/>
    <w:rsid w:val="003D2B10"/>
    <w:rsid w:val="003D3BA4"/>
    <w:rsid w:val="003D413A"/>
    <w:rsid w:val="003E343F"/>
    <w:rsid w:val="003E5588"/>
    <w:rsid w:val="003F14C3"/>
    <w:rsid w:val="003F4707"/>
    <w:rsid w:val="0040346D"/>
    <w:rsid w:val="004079C2"/>
    <w:rsid w:val="004111B5"/>
    <w:rsid w:val="004213AD"/>
    <w:rsid w:val="00422AF1"/>
    <w:rsid w:val="004268A1"/>
    <w:rsid w:val="004273B2"/>
    <w:rsid w:val="004300EE"/>
    <w:rsid w:val="00432E47"/>
    <w:rsid w:val="004369B1"/>
    <w:rsid w:val="00440C95"/>
    <w:rsid w:val="00442D54"/>
    <w:rsid w:val="00443277"/>
    <w:rsid w:val="00454974"/>
    <w:rsid w:val="00457294"/>
    <w:rsid w:val="00463F63"/>
    <w:rsid w:val="00466E5C"/>
    <w:rsid w:val="00473504"/>
    <w:rsid w:val="004817F9"/>
    <w:rsid w:val="00491581"/>
    <w:rsid w:val="00494AE0"/>
    <w:rsid w:val="004A2630"/>
    <w:rsid w:val="004B3EFD"/>
    <w:rsid w:val="004D03C9"/>
    <w:rsid w:val="004D2856"/>
    <w:rsid w:val="004E0EEF"/>
    <w:rsid w:val="004F250B"/>
    <w:rsid w:val="00506110"/>
    <w:rsid w:val="005210A1"/>
    <w:rsid w:val="00524827"/>
    <w:rsid w:val="00530DD3"/>
    <w:rsid w:val="00533401"/>
    <w:rsid w:val="00536CDD"/>
    <w:rsid w:val="0054325C"/>
    <w:rsid w:val="00543432"/>
    <w:rsid w:val="00543F22"/>
    <w:rsid w:val="00545387"/>
    <w:rsid w:val="0054670F"/>
    <w:rsid w:val="005534BA"/>
    <w:rsid w:val="00555033"/>
    <w:rsid w:val="005554F1"/>
    <w:rsid w:val="0055771E"/>
    <w:rsid w:val="005606F0"/>
    <w:rsid w:val="00560E01"/>
    <w:rsid w:val="00562D10"/>
    <w:rsid w:val="00563B1C"/>
    <w:rsid w:val="00565405"/>
    <w:rsid w:val="005704CB"/>
    <w:rsid w:val="00575B24"/>
    <w:rsid w:val="00582105"/>
    <w:rsid w:val="00582557"/>
    <w:rsid w:val="00590EA7"/>
    <w:rsid w:val="005910F0"/>
    <w:rsid w:val="005A382A"/>
    <w:rsid w:val="005B133D"/>
    <w:rsid w:val="005C17C8"/>
    <w:rsid w:val="005C55C1"/>
    <w:rsid w:val="005D4071"/>
    <w:rsid w:val="005D7CAD"/>
    <w:rsid w:val="005E29C5"/>
    <w:rsid w:val="005F1D12"/>
    <w:rsid w:val="005F2238"/>
    <w:rsid w:val="005F3F1D"/>
    <w:rsid w:val="006004A3"/>
    <w:rsid w:val="0060440C"/>
    <w:rsid w:val="006057E2"/>
    <w:rsid w:val="00606157"/>
    <w:rsid w:val="0061566D"/>
    <w:rsid w:val="00616146"/>
    <w:rsid w:val="00624ED0"/>
    <w:rsid w:val="00632621"/>
    <w:rsid w:val="00637BF1"/>
    <w:rsid w:val="00641605"/>
    <w:rsid w:val="00647586"/>
    <w:rsid w:val="00653496"/>
    <w:rsid w:val="0068587A"/>
    <w:rsid w:val="00692413"/>
    <w:rsid w:val="00695614"/>
    <w:rsid w:val="006A3823"/>
    <w:rsid w:val="006A4B5D"/>
    <w:rsid w:val="006B231B"/>
    <w:rsid w:val="006C682A"/>
    <w:rsid w:val="006D7503"/>
    <w:rsid w:val="006E36EE"/>
    <w:rsid w:val="006E4EC0"/>
    <w:rsid w:val="006F04E3"/>
    <w:rsid w:val="007016F9"/>
    <w:rsid w:val="00702A50"/>
    <w:rsid w:val="00703DD6"/>
    <w:rsid w:val="00716BD4"/>
    <w:rsid w:val="00724F9D"/>
    <w:rsid w:val="00731A7A"/>
    <w:rsid w:val="00736A6D"/>
    <w:rsid w:val="00742252"/>
    <w:rsid w:val="00744169"/>
    <w:rsid w:val="007473F7"/>
    <w:rsid w:val="00747AF1"/>
    <w:rsid w:val="00752990"/>
    <w:rsid w:val="007605AB"/>
    <w:rsid w:val="0076217A"/>
    <w:rsid w:val="00765A27"/>
    <w:rsid w:val="0076723D"/>
    <w:rsid w:val="00767FE0"/>
    <w:rsid w:val="00790CAF"/>
    <w:rsid w:val="00795DA4"/>
    <w:rsid w:val="007A3AB4"/>
    <w:rsid w:val="007A7008"/>
    <w:rsid w:val="007B5237"/>
    <w:rsid w:val="007B5CA3"/>
    <w:rsid w:val="007D797E"/>
    <w:rsid w:val="007E70B7"/>
    <w:rsid w:val="007E7CD2"/>
    <w:rsid w:val="007F49E0"/>
    <w:rsid w:val="008007A1"/>
    <w:rsid w:val="008118D9"/>
    <w:rsid w:val="00813646"/>
    <w:rsid w:val="0082262B"/>
    <w:rsid w:val="00823078"/>
    <w:rsid w:val="0082690E"/>
    <w:rsid w:val="00831590"/>
    <w:rsid w:val="00834A5B"/>
    <w:rsid w:val="00841FF9"/>
    <w:rsid w:val="0085297C"/>
    <w:rsid w:val="00854C1F"/>
    <w:rsid w:val="00862388"/>
    <w:rsid w:val="00863EE7"/>
    <w:rsid w:val="0087680F"/>
    <w:rsid w:val="008816B2"/>
    <w:rsid w:val="00887802"/>
    <w:rsid w:val="008A2512"/>
    <w:rsid w:val="008B2B5B"/>
    <w:rsid w:val="008B5E8C"/>
    <w:rsid w:val="008B6767"/>
    <w:rsid w:val="008B7C9C"/>
    <w:rsid w:val="008C0BFE"/>
    <w:rsid w:val="008D2171"/>
    <w:rsid w:val="008D523A"/>
    <w:rsid w:val="008E0850"/>
    <w:rsid w:val="008E2DCF"/>
    <w:rsid w:val="008E39F9"/>
    <w:rsid w:val="008F2713"/>
    <w:rsid w:val="008F43A2"/>
    <w:rsid w:val="008F70B3"/>
    <w:rsid w:val="0091774C"/>
    <w:rsid w:val="00920925"/>
    <w:rsid w:val="00922310"/>
    <w:rsid w:val="00934777"/>
    <w:rsid w:val="0093657C"/>
    <w:rsid w:val="00943452"/>
    <w:rsid w:val="009654A9"/>
    <w:rsid w:val="0097241B"/>
    <w:rsid w:val="00973391"/>
    <w:rsid w:val="00985D61"/>
    <w:rsid w:val="00993368"/>
    <w:rsid w:val="009A4405"/>
    <w:rsid w:val="009A70F7"/>
    <w:rsid w:val="009B0D47"/>
    <w:rsid w:val="009B1056"/>
    <w:rsid w:val="009B1BEA"/>
    <w:rsid w:val="009B573F"/>
    <w:rsid w:val="009B64EC"/>
    <w:rsid w:val="009B6FB5"/>
    <w:rsid w:val="009E44A3"/>
    <w:rsid w:val="009F3132"/>
    <w:rsid w:val="009F76F1"/>
    <w:rsid w:val="00A01C55"/>
    <w:rsid w:val="00A038C4"/>
    <w:rsid w:val="00A03A44"/>
    <w:rsid w:val="00A120AD"/>
    <w:rsid w:val="00A165B9"/>
    <w:rsid w:val="00A25F2E"/>
    <w:rsid w:val="00A26F7B"/>
    <w:rsid w:val="00A2780A"/>
    <w:rsid w:val="00A32576"/>
    <w:rsid w:val="00A443C1"/>
    <w:rsid w:val="00A51448"/>
    <w:rsid w:val="00A53B39"/>
    <w:rsid w:val="00A63BFC"/>
    <w:rsid w:val="00A718E2"/>
    <w:rsid w:val="00A7451D"/>
    <w:rsid w:val="00A80428"/>
    <w:rsid w:val="00A81B8E"/>
    <w:rsid w:val="00A90028"/>
    <w:rsid w:val="00AA1413"/>
    <w:rsid w:val="00AA7822"/>
    <w:rsid w:val="00AB357E"/>
    <w:rsid w:val="00AB36F7"/>
    <w:rsid w:val="00AB5432"/>
    <w:rsid w:val="00AC2EF2"/>
    <w:rsid w:val="00AC542F"/>
    <w:rsid w:val="00AE58A8"/>
    <w:rsid w:val="00AE58C4"/>
    <w:rsid w:val="00AE641B"/>
    <w:rsid w:val="00AE7509"/>
    <w:rsid w:val="00AF0FA0"/>
    <w:rsid w:val="00AF3D77"/>
    <w:rsid w:val="00B024F1"/>
    <w:rsid w:val="00B07C32"/>
    <w:rsid w:val="00B1418D"/>
    <w:rsid w:val="00B23F3B"/>
    <w:rsid w:val="00B27905"/>
    <w:rsid w:val="00B33017"/>
    <w:rsid w:val="00B40B9D"/>
    <w:rsid w:val="00B40BCA"/>
    <w:rsid w:val="00B44A6F"/>
    <w:rsid w:val="00B51CCD"/>
    <w:rsid w:val="00B5602F"/>
    <w:rsid w:val="00B5624A"/>
    <w:rsid w:val="00B61C65"/>
    <w:rsid w:val="00B71711"/>
    <w:rsid w:val="00B80CB7"/>
    <w:rsid w:val="00B820E1"/>
    <w:rsid w:val="00B838F1"/>
    <w:rsid w:val="00B90E97"/>
    <w:rsid w:val="00B94625"/>
    <w:rsid w:val="00B950B4"/>
    <w:rsid w:val="00B972EF"/>
    <w:rsid w:val="00B975AE"/>
    <w:rsid w:val="00BA4E71"/>
    <w:rsid w:val="00BB1F12"/>
    <w:rsid w:val="00BB5DA3"/>
    <w:rsid w:val="00BC5467"/>
    <w:rsid w:val="00BD3435"/>
    <w:rsid w:val="00BE3445"/>
    <w:rsid w:val="00BF181C"/>
    <w:rsid w:val="00BF526C"/>
    <w:rsid w:val="00BF76ED"/>
    <w:rsid w:val="00C0152B"/>
    <w:rsid w:val="00C06639"/>
    <w:rsid w:val="00C07BD5"/>
    <w:rsid w:val="00C1509A"/>
    <w:rsid w:val="00C3602C"/>
    <w:rsid w:val="00C4175E"/>
    <w:rsid w:val="00C51E20"/>
    <w:rsid w:val="00C52F4A"/>
    <w:rsid w:val="00C54B59"/>
    <w:rsid w:val="00C557B9"/>
    <w:rsid w:val="00C61B7B"/>
    <w:rsid w:val="00C6279A"/>
    <w:rsid w:val="00C81FDE"/>
    <w:rsid w:val="00C850FB"/>
    <w:rsid w:val="00C90216"/>
    <w:rsid w:val="00C97449"/>
    <w:rsid w:val="00C9763B"/>
    <w:rsid w:val="00C97C68"/>
    <w:rsid w:val="00CA1619"/>
    <w:rsid w:val="00CA28C1"/>
    <w:rsid w:val="00CA7297"/>
    <w:rsid w:val="00CC2146"/>
    <w:rsid w:val="00CE79B4"/>
    <w:rsid w:val="00D003B7"/>
    <w:rsid w:val="00D00C66"/>
    <w:rsid w:val="00D03342"/>
    <w:rsid w:val="00D03628"/>
    <w:rsid w:val="00D0707E"/>
    <w:rsid w:val="00D10382"/>
    <w:rsid w:val="00D109DD"/>
    <w:rsid w:val="00D1308E"/>
    <w:rsid w:val="00D134AD"/>
    <w:rsid w:val="00D13E8F"/>
    <w:rsid w:val="00D2335C"/>
    <w:rsid w:val="00D24151"/>
    <w:rsid w:val="00D2419F"/>
    <w:rsid w:val="00D24217"/>
    <w:rsid w:val="00D26FD2"/>
    <w:rsid w:val="00D33464"/>
    <w:rsid w:val="00D341CC"/>
    <w:rsid w:val="00D40025"/>
    <w:rsid w:val="00D630C5"/>
    <w:rsid w:val="00D63323"/>
    <w:rsid w:val="00D63A77"/>
    <w:rsid w:val="00D65C4F"/>
    <w:rsid w:val="00D66850"/>
    <w:rsid w:val="00D72CAE"/>
    <w:rsid w:val="00D80EB4"/>
    <w:rsid w:val="00D83052"/>
    <w:rsid w:val="00D94F3D"/>
    <w:rsid w:val="00D95B78"/>
    <w:rsid w:val="00DA2FF8"/>
    <w:rsid w:val="00DA3E50"/>
    <w:rsid w:val="00DA59CA"/>
    <w:rsid w:val="00DB24F2"/>
    <w:rsid w:val="00DB25EA"/>
    <w:rsid w:val="00DB71AE"/>
    <w:rsid w:val="00DC064D"/>
    <w:rsid w:val="00DC2775"/>
    <w:rsid w:val="00DD1570"/>
    <w:rsid w:val="00DD3150"/>
    <w:rsid w:val="00DE4E78"/>
    <w:rsid w:val="00DF30E6"/>
    <w:rsid w:val="00DF7FF4"/>
    <w:rsid w:val="00E0127B"/>
    <w:rsid w:val="00E04261"/>
    <w:rsid w:val="00E06D4E"/>
    <w:rsid w:val="00E07F59"/>
    <w:rsid w:val="00E16071"/>
    <w:rsid w:val="00E20C47"/>
    <w:rsid w:val="00E25C0C"/>
    <w:rsid w:val="00E26F9F"/>
    <w:rsid w:val="00E3290E"/>
    <w:rsid w:val="00E3661B"/>
    <w:rsid w:val="00E603DA"/>
    <w:rsid w:val="00E667EC"/>
    <w:rsid w:val="00E72868"/>
    <w:rsid w:val="00E7356B"/>
    <w:rsid w:val="00E76276"/>
    <w:rsid w:val="00E76EC6"/>
    <w:rsid w:val="00E7739E"/>
    <w:rsid w:val="00E818CB"/>
    <w:rsid w:val="00E86FDE"/>
    <w:rsid w:val="00E95186"/>
    <w:rsid w:val="00EA28AC"/>
    <w:rsid w:val="00EA6245"/>
    <w:rsid w:val="00EB4ABB"/>
    <w:rsid w:val="00EC0CAA"/>
    <w:rsid w:val="00EC46F6"/>
    <w:rsid w:val="00EC72CA"/>
    <w:rsid w:val="00ED4EFD"/>
    <w:rsid w:val="00ED5509"/>
    <w:rsid w:val="00EE1B0D"/>
    <w:rsid w:val="00EE4107"/>
    <w:rsid w:val="00EE6E27"/>
    <w:rsid w:val="00EF176B"/>
    <w:rsid w:val="00EF1A73"/>
    <w:rsid w:val="00EF2884"/>
    <w:rsid w:val="00EF2BFB"/>
    <w:rsid w:val="00EF35C3"/>
    <w:rsid w:val="00EF56AC"/>
    <w:rsid w:val="00F005A1"/>
    <w:rsid w:val="00F01081"/>
    <w:rsid w:val="00F041AF"/>
    <w:rsid w:val="00F12211"/>
    <w:rsid w:val="00F148B2"/>
    <w:rsid w:val="00F15E44"/>
    <w:rsid w:val="00F2170D"/>
    <w:rsid w:val="00F2743A"/>
    <w:rsid w:val="00F35922"/>
    <w:rsid w:val="00F35DFD"/>
    <w:rsid w:val="00F40692"/>
    <w:rsid w:val="00F41AA1"/>
    <w:rsid w:val="00F573D1"/>
    <w:rsid w:val="00F61340"/>
    <w:rsid w:val="00F6274B"/>
    <w:rsid w:val="00F627BF"/>
    <w:rsid w:val="00F67878"/>
    <w:rsid w:val="00F71968"/>
    <w:rsid w:val="00F75E81"/>
    <w:rsid w:val="00F771DB"/>
    <w:rsid w:val="00F8517D"/>
    <w:rsid w:val="00F87FD6"/>
    <w:rsid w:val="00F953F2"/>
    <w:rsid w:val="00F976DC"/>
    <w:rsid w:val="00FA66A4"/>
    <w:rsid w:val="00FB3FE5"/>
    <w:rsid w:val="00FC496C"/>
    <w:rsid w:val="00FD4D2E"/>
    <w:rsid w:val="00FD7A8E"/>
    <w:rsid w:val="00FE02C7"/>
    <w:rsid w:val="00FE040C"/>
    <w:rsid w:val="00FE1D41"/>
    <w:rsid w:val="00FE2315"/>
    <w:rsid w:val="00FE3A45"/>
    <w:rsid w:val="00FF3A3C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E3C5"/>
  <w15:chartTrackingRefBased/>
  <w15:docId w15:val="{1E6E26E3-EB2A-44D0-A03F-CE71709A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Milovanovic-Mojsilovic</dc:creator>
  <cp:keywords/>
  <dc:description/>
  <cp:lastModifiedBy>Andrea Sakovic</cp:lastModifiedBy>
  <cp:revision>10</cp:revision>
  <cp:lastPrinted>2024-05-22T09:20:00Z</cp:lastPrinted>
  <dcterms:created xsi:type="dcterms:W3CDTF">2024-05-09T11:20:00Z</dcterms:created>
  <dcterms:modified xsi:type="dcterms:W3CDTF">2024-07-09T11:15:00Z</dcterms:modified>
</cp:coreProperties>
</file>